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header+xml" PartName="/word/header2.xml"/>
  <Override ContentType="application/vnd.openxmlformats-officedocument.wordprocessingml.footer+xml" PartName="/word/footer2.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5180"/>
        <w:gridCol w:w="7060"/>
      </w:tblGrid>
      <w:tr>
        <w:trPr>
          <w:cantSplit/>
        </w:trPr>
        <w:tc>
          <w:tcPr>
            <w:tcW w:type="dxa" w:w="5180"/>
            <w:tcBorders>
              <w:top w:val="none" w:color="FFFFFF" w:sz="0"/>
              <w:left w:val="none" w:color="FFFFFF" w:sz="0"/>
              <w:bottom w:val="none" w:color="FFFFFF" w:sz="0"/>
              <w:right w:val="none" w:color="FFFFFF" w:sz="0"/>
            </w:tcBorders>
            <w:shd w:fill="FFFFFF" w:val="clear"/>
            <w:tcMar>
              <w:top w:type="dxa" w:w="240"/>
              <w:left w:type="dxa" w:w="1340"/>
              <w:bottom w:type="dxa" w:w="200"/>
              <w:right w:type="dxa" w:w="220"/>
            </w:tcMar>
            <w:vAlign w:val="top"/>
          </w:tcPr>
          <w:p>
            <w:pPr>
              <w:spacing w:after="200"/>
            </w:pPr>
            <w:r>
              <w:drawing>
                <wp:inline distT="0" distB="0" distL="0" distR="0">
                  <wp:extent cx="2143125" cy="6096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143125" cy="609600"/>
                          </a:xfrm>
                          <a:prstGeom prst="rect">
                            <a:avLst/>
                          </a:prstGeom>
                        </pic:spPr>
                      </pic:pic>
                    </a:graphicData>
                  </a:graphic>
                </wp:inline>
              </w:drawing>
            </w:r>
          </w:p>
          <w:p>
            <w:pPr>
              <w:spacing w:after="60"/>
            </w:pPr>
            <w:r>
              <w:rPr>
                <w:rFonts w:ascii="Arial" w:cs="Arial" w:eastAsia="Arial" w:hAnsi="Arial"/>
                <w:b/>
                <w:bCs/>
                <w:color w:val="2E75B6"/>
                <w:sz w:val="15"/>
                <w:szCs w:val="15"/>
              </w:rPr>
              <w:t xml:space="preserve">GEOANÁLISIS MUNICIPAL</w:t>
            </w:r>
          </w:p>
          <w:p>
            <w:pPr>
              <w:spacing w:after="20"/>
            </w:pPr>
            <w:r>
              <w:rPr>
                <w:rFonts w:ascii="Arial" w:cs="Arial" w:eastAsia="Arial" w:hAnsi="Arial"/>
                <w:b/>
                <w:bCs/>
                <w:color w:val="0D2F55"/>
                <w:sz w:val="38"/>
                <w:szCs w:val="38"/>
              </w:rPr>
              <w:t xml:space="preserve">Morelia</w:t>
            </w:r>
          </w:p>
          <w:p>
            <w:pPr>
              <w:spacing w:after="60"/>
            </w:pPr>
            <w:r>
              <w:rPr>
                <w:rFonts w:ascii="Arial" w:cs="Arial" w:eastAsia="Arial" w:hAnsi="Arial"/>
                <w:color w:val="555555"/>
                <w:sz w:val="22"/>
                <w:szCs w:val="22"/>
              </w:rPr>
              <w:t xml:space="preserve">Michoacán</w:t>
            </w:r>
          </w:p>
          <w:p>
            <w:pPr>
              <w:pBdr>
                <w:bottom w:val="single" w:color="9DC3E6" w:sz="6" w:space="8"/>
              </w:pBdr>
              <w:spacing w:after="160"/>
            </w:pPr>
            <w:r>
              <w:rPr>
                <w:rFonts w:ascii="Arial" w:cs="Arial" w:eastAsia="Arial" w:hAnsi="Arial"/>
                <w:color w:val="2E75B6"/>
                <w:sz w:val="16"/>
                <w:szCs w:val="16"/>
              </w:rPr>
              <w:t xml:space="preserve">Reporte generado el 25 de agosto de 2026</w:t>
            </w:r>
          </w:p>
          <w:p>
            <w:pPr>
              <w:spacing w:after="100"/>
            </w:pPr>
            <w:r>
              <w:rPr>
                <w:rFonts w:ascii="Arial" w:cs="Arial" w:eastAsia="Arial" w:hAnsi="Arial"/>
                <w:b/>
                <w:bCs/>
                <w:color w:val="333333"/>
                <w:sz w:val="19"/>
                <w:szCs w:val="19"/>
              </w:rPr>
              <w:t xml:space="preserve">PERFIL DEMOGRÁFICO, ECONÓMICO Y PRODUCTIVO</w:t>
            </w:r>
            <w:r>
              <w:rPr>
                <w:rFonts w:ascii="Arial" w:cs="Arial" w:eastAsia="Arial" w:hAnsi="Arial"/>
                <w:b/>
                <w:bCs/>
                <w:color w:val="1B4F8A"/>
                <w:sz w:val="19"/>
                <w:szCs w:val="19"/>
              </w:rPr>
              <w:t xml:space="preserve"> PARA DECISIONES DE INVERSIÓN</w:t>
            </w:r>
          </w:p>
          <w:p>
            <w:pPr>
              <w:spacing w:after="180"/>
            </w:pPr>
            <w:r>
              <w:rPr>
                <w:rFonts w:ascii="Arial" w:cs="Arial" w:eastAsia="Arial" w:hAnsi="Arial"/>
                <w:color w:val="555555"/>
                <w:sz w:val="17"/>
                <w:szCs w:val="17"/>
              </w:rPr>
              <w:t xml:space="preserve">Entiende el territorio. Detecta la vocación productiva. Encuentra la oportunidad.</w:t>
            </w:r>
          </w:p>
          <w:tbl>
            <w:tblPr>
              <w:tblW w:type="dxa" w:w="3800"/>
              <w:tblBorders>
                <w:top w:val="single" w:color="auto" w:sz="4"/>
                <w:left w:val="single" w:color="auto" w:sz="4"/>
                <w:bottom w:val="single" w:color="auto" w:sz="4"/>
                <w:right w:val="single" w:color="auto" w:sz="4"/>
                <w:insideH w:val="single" w:color="auto" w:sz="4"/>
                <w:insideV w:val="single" w:color="auto" w:sz="4"/>
              </w:tblBorders>
            </w:tblPr>
            <w:tblGrid>
              <w:gridCol w:w="3800"/>
            </w:tblGrid>
            <w:tr>
              <w:trPr>
                <w:cantSplit/>
              </w:trPr>
              <w:tc>
                <w:tcPr>
                  <w:tcW w:type="dxa" w:w="3800"/>
                  <w:tcBorders>
                    <w:top w:val="single" w:color="4EA3D4" w:sz="4"/>
                    <w:left w:val="single" w:color="4EA3D4" w:sz="4"/>
                    <w:bottom w:val="single" w:color="4EA3D4" w:sz="4"/>
                    <w:right w:val="single" w:color="4EA3D4" w:sz="4"/>
                  </w:tcBorders>
                  <w:shd w:fill="EAF4FB" w:val="clear"/>
                  <w:tcMar>
                    <w:top w:type="dxa" w:w="100"/>
                    <w:left w:type="dxa" w:w="160"/>
                    <w:bottom w:type="dxa" w:w="100"/>
                    <w:right w:type="dxa" w:w="160"/>
                  </w:tcMar>
                </w:tcPr>
                <w:p>
                  <w:pPr>
                    <w:jc w:val="center"/>
                  </w:pPr>
                  <w:r>
                    <w:drawing>
                      <wp:inline distT="0" distB="0" distL="0" distR="0">
                        <wp:extent cx="190500" cy="190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190500" cy="190500"/>
                                </a:xfrm>
                                <a:prstGeom prst="rect">
                                  <a:avLst/>
                                </a:prstGeom>
                              </pic:spPr>
                            </pic:pic>
                          </a:graphicData>
                        </a:graphic>
                      </wp:inline>
                    </w:drawing>
                  </w:r>
                  <w:r>
                    <w:rPr>
                      <w:rFonts w:ascii="Arial" w:cs="Arial" w:eastAsia="Arial" w:hAnsi="Arial"/>
                      <w:b/>
                      <w:bCs/>
                      <w:color w:val="1B4F8A"/>
                      <w:sz w:val="16"/>
                      <w:szCs w:val="16"/>
                    </w:rPr>
                    <w:t xml:space="preserve">   RADIO DE 100 KILÓMETROS</w:t>
                  </w:r>
                </w:p>
              </w:tc>
            </w:tr>
          </w:tbl>
          <w:p/>
        </w:tc>
        <w:tc>
          <w:tcPr>
            <w:tcW w:type="dxa" w:w="7060"/>
            <w:tcBorders>
              <w:top w:val="none" w:color="FFFFFF" w:sz="0"/>
              <w:left w:val="none" w:color="FFFFFF" w:sz="0"/>
              <w:bottom w:val="none" w:color="FFFFFF" w:sz="0"/>
              <w:right w:val="none" w:color="FFFFFF" w:sz="0"/>
            </w:tcBorders>
            <w:shd w:fill="0D2F55" w:val="clear"/>
            <w:tcMar>
              <w:top w:type="dxa" w:w="100"/>
              <w:left w:type="dxa" w:w="20"/>
              <w:bottom w:type="dxa" w:w="100"/>
              <w:right w:type="dxa" w:w="1080"/>
            </w:tcMar>
            <w:vAlign w:val="center"/>
          </w:tcPr>
          <w:p>
            <w:pPr>
              <w:jc w:val="center"/>
            </w:pPr>
            <w:r>
              <w:drawing>
                <wp:inline distT="0" distB="0" distL="0" distR="0">
                  <wp:extent cx="3333750" cy="3619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3333750" cy="3619500"/>
                          </a:xfrm>
                          <a:prstGeom prst="rect">
                            <a:avLst/>
                          </a:prstGeom>
                        </pic:spPr>
                      </pic:pic>
                    </a:graphicData>
                  </a:graphic>
                </wp:inline>
              </w:drawing>
            </w:r>
          </w:p>
        </w:tc>
      </w:tr>
    </w:tbl>
    <w:p>
      <w:pPr>
        <w:spacing w:after="140" w:before="0"/>
      </w:pPr>
      <w:r>
        <w:rPr>
          <w:sz w:val="4"/>
          <w:szCs w:val="4"/>
        </w:rPr>
        <w:t xml:space="preserve"/>
      </w:r>
    </w:p>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3182"/>
        <w:gridCol w:w="1984"/>
        <w:gridCol w:w="1985"/>
        <w:gridCol w:w="1984"/>
        <w:gridCol w:w="3105"/>
      </w:tblGrid>
      <w:tr>
        <w:trPr>
          <w:cantSplit/>
        </w:trPr>
        <w:tc>
          <w:tcPr>
            <w:tcW w:type="dxa" w:w="3182"/>
            <w:tcBorders>
              <w:top w:val="single" w:color="C9D8E8" w:sz="4"/>
              <w:left w:val="single" w:color="2E75B6" w:sz="20"/>
              <w:bottom w:val="single" w:color="C9D8E8" w:sz="4"/>
              <w:right w:val="single" w:color="C9D8E8" w:sz="4"/>
            </w:tcBorders>
            <w:shd w:fill="FFFFFF" w:val="clear"/>
            <w:tcMar>
              <w:top w:type="dxa" w:w="95"/>
              <w:left w:type="dxa" w:w="1210"/>
              <w:bottom w:type="dxa" w:w="95"/>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POBLACIÓN</w:t>
            </w:r>
          </w:p>
          <w:p>
            <w:pPr>
              <w:spacing w:after="20"/>
              <w:jc w:val="center"/>
            </w:pPr>
            <w:r>
              <w:rPr>
                <w:rFonts w:ascii="Arial" w:cs="Arial" w:eastAsia="Arial" w:hAnsi="Arial"/>
                <w:b/>
                <w:bCs/>
                <w:color w:val="0D2F55"/>
                <w:sz w:val="25"/>
                <w:szCs w:val="25"/>
              </w:rPr>
              <w:t xml:space="preserve">3,584,675</w:t>
            </w:r>
          </w:p>
          <w:p>
            <w:pPr>
              <w:spacing w:after="110"/>
              <w:jc w:val="center"/>
            </w:pPr>
            <w:r>
              <w:rPr>
                <w:rFonts w:ascii="Arial" w:cs="Arial" w:eastAsia="Arial" w:hAnsi="Arial"/>
                <w:color w:val="555555"/>
                <w:sz w:val="11"/>
                <w:szCs w:val="11"/>
              </w:rPr>
              <w:t xml:space="preserve">HABITANTES</w:t>
            </w:r>
          </w:p>
          <w:p>
            <w:pPr>
              <w:pBdr>
                <w:top w:val="single" w:color="DCE4EC" w:sz="4" w:space="8"/>
              </w:pBdr>
              <w:spacing w:after="20"/>
              <w:jc w:val="center"/>
            </w:pPr>
            <w:r>
              <w:rPr>
                <w:rFonts w:ascii="Arial" w:cs="Arial" w:eastAsia="Arial" w:hAnsi="Arial"/>
                <w:b/>
                <w:bCs/>
                <w:color w:val="2E75B6"/>
                <w:sz w:val="16"/>
                <w:szCs w:val="16"/>
              </w:rPr>
              <w:t xml:space="preserve">70.3%</w:t>
            </w:r>
          </w:p>
          <w:p>
            <w:pPr>
              <w:jc w:val="center"/>
            </w:pPr>
            <w:r>
              <w:rPr>
                <w:rFonts w:ascii="Arial" w:cs="Arial" w:eastAsia="Arial" w:hAnsi="Arial"/>
                <w:color w:val="555555"/>
                <w:sz w:val="16"/>
                <w:szCs w:val="16"/>
              </w:rPr>
              <w:t xml:space="preserve">NSE D, E y NA</w:t>
            </w:r>
          </w:p>
        </w:tc>
        <w:tc>
          <w:tcPr>
            <w:tcW w:type="dxa" w:w="1984"/>
            <w:tcBorders>
              <w:top w:val="single" w:color="C9D8E8" w:sz="4"/>
              <w:left w:val="single" w:color="2E75B6" w:sz="20"/>
              <w:bottom w:val="single" w:color="C9D8E8" w:sz="4"/>
              <w:right w:val="single" w:color="C9D8E8" w:sz="4"/>
            </w:tcBorders>
            <w:shd w:fill="FFFFFF" w:val="clear"/>
            <w:tcMar>
              <w:top w:type="dxa" w:w="95"/>
              <w:left w:type="dxa" w:w="130"/>
              <w:bottom w:type="dxa" w:w="95"/>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ACTIVIDAD ECONÓMICA Y COMERCIAL</w:t>
            </w:r>
          </w:p>
          <w:p>
            <w:pPr>
              <w:spacing w:after="20"/>
              <w:jc w:val="center"/>
            </w:pPr>
            <w:r>
              <w:rPr>
                <w:rFonts w:ascii="Arial" w:cs="Arial" w:eastAsia="Arial" w:hAnsi="Arial"/>
                <w:b/>
                <w:bCs/>
                <w:color w:val="0D2F55"/>
                <w:sz w:val="25"/>
                <w:szCs w:val="25"/>
              </w:rPr>
              <w:t xml:space="preserve">995,354</w:t>
            </w:r>
          </w:p>
          <w:p>
            <w:pPr>
              <w:spacing w:after="110"/>
              <w:jc w:val="center"/>
            </w:pPr>
            <w:r>
              <w:rPr>
                <w:rFonts w:ascii="Arial" w:cs="Arial" w:eastAsia="Arial" w:hAnsi="Arial"/>
                <w:color w:val="555555"/>
                <w:sz w:val="11"/>
                <w:szCs w:val="11"/>
              </w:rPr>
              <w:t xml:space="preserve">EMPLEOS</w:t>
            </w:r>
          </w:p>
          <w:p>
            <w:pPr>
              <w:pBdr>
                <w:top w:val="single" w:color="DCE4EC" w:sz="4" w:space="8"/>
              </w:pBdr>
              <w:spacing w:after="20"/>
              <w:jc w:val="center"/>
            </w:pPr>
            <w:r>
              <w:rPr>
                <w:rFonts w:ascii="Arial" w:cs="Arial" w:eastAsia="Arial" w:hAnsi="Arial"/>
                <w:b/>
                <w:bCs/>
                <w:color w:val="2E75B6"/>
                <w:sz w:val="16"/>
                <w:szCs w:val="16"/>
              </w:rPr>
              <w:t xml:space="preserve">495,499</w:t>
            </w:r>
          </w:p>
          <w:p>
            <w:pPr>
              <w:jc w:val="center"/>
            </w:pPr>
            <w:r>
              <w:rPr>
                <w:rFonts w:ascii="Arial" w:cs="Arial" w:eastAsia="Arial" w:hAnsi="Arial"/>
                <w:color w:val="555555"/>
                <w:sz w:val="16"/>
                <w:szCs w:val="16"/>
              </w:rPr>
              <w:t xml:space="preserve">IDC</w:t>
            </w:r>
          </w:p>
        </w:tc>
        <w:tc>
          <w:tcPr>
            <w:tcW w:type="dxa" w:w="1985"/>
            <w:tcBorders>
              <w:top w:val="single" w:color="C9D8E8" w:sz="4"/>
              <w:left w:val="single" w:color="2E75B6" w:sz="20"/>
              <w:bottom w:val="single" w:color="C9D8E8" w:sz="4"/>
              <w:right w:val="single" w:color="C9D8E8" w:sz="4"/>
            </w:tcBorders>
            <w:shd w:fill="FFFFFF" w:val="clear"/>
            <w:tcMar>
              <w:top w:type="dxa" w:w="95"/>
              <w:left w:type="dxa" w:w="130"/>
              <w:bottom w:type="dxa" w:w="95"/>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CLIMA</w:t>
            </w:r>
          </w:p>
          <w:p>
            <w:pPr>
              <w:spacing w:after="20"/>
              <w:jc w:val="center"/>
            </w:pPr>
            <w:r>
              <w:rPr>
                <w:rFonts w:ascii="Arial" w:cs="Arial" w:eastAsia="Arial" w:hAnsi="Arial"/>
                <w:b/>
                <w:bCs/>
                <w:color w:val="0D2F55"/>
                <w:sz w:val="25"/>
                <w:szCs w:val="25"/>
              </w:rPr>
              <w:t xml:space="preserve">19.97°C</w:t>
            </w:r>
          </w:p>
          <w:p>
            <w:pPr>
              <w:spacing w:after="110"/>
              <w:jc w:val="center"/>
            </w:pPr>
            <w:r>
              <w:rPr>
                <w:rFonts w:ascii="Arial" w:cs="Arial" w:eastAsia="Arial" w:hAnsi="Arial"/>
                <w:color w:val="555555"/>
                <w:sz w:val="11"/>
                <w:szCs w:val="11"/>
              </w:rPr>
              <w:t xml:space="preserve">TEMP. MEDIA ANUAL</w:t>
            </w:r>
          </w:p>
          <w:p>
            <w:pPr>
              <w:pBdr>
                <w:top w:val="single" w:color="DCE4EC" w:sz="4" w:space="8"/>
              </w:pBdr>
              <w:spacing w:after="20"/>
              <w:jc w:val="center"/>
            </w:pPr>
            <w:r>
              <w:rPr>
                <w:rFonts w:ascii="Arial" w:cs="Arial" w:eastAsia="Arial" w:hAnsi="Arial"/>
                <w:b/>
                <w:bCs/>
                <w:color w:val="2E75B6"/>
                <w:sz w:val="16"/>
                <w:szCs w:val="16"/>
              </w:rPr>
              <w:t xml:space="preserve">Templado subhúmedo</w:t>
            </w:r>
          </w:p>
          <w:p>
            <w:pPr>
              <w:jc w:val="center"/>
            </w:pPr>
            <w:r>
              <w:rPr>
                <w:rFonts w:ascii="Arial" w:cs="Arial" w:eastAsia="Arial" w:hAnsi="Arial"/>
                <w:color w:val="555555"/>
                <w:sz w:val="16"/>
                <w:szCs w:val="16"/>
              </w:rPr>
              <w:t xml:space="preserve">tipo de clima</w:t>
            </w:r>
          </w:p>
        </w:tc>
        <w:tc>
          <w:tcPr>
            <w:tcW w:type="dxa" w:w="1984"/>
            <w:tcBorders>
              <w:top w:val="single" w:color="C9D8E8" w:sz="4"/>
              <w:left w:val="single" w:color="2E75B6" w:sz="20"/>
              <w:bottom w:val="single" w:color="C9D8E8" w:sz="4"/>
              <w:right w:val="single" w:color="C9D8E8" w:sz="4"/>
            </w:tcBorders>
            <w:shd w:fill="FFFFFF" w:val="clear"/>
            <w:tcMar>
              <w:top w:type="dxa" w:w="95"/>
              <w:left w:type="dxa" w:w="130"/>
              <w:bottom w:type="dxa" w:w="95"/>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AGRICULTURA Y GANADERÍA</w:t>
            </w:r>
          </w:p>
          <w:p>
            <w:pPr>
              <w:spacing w:after="20"/>
              <w:jc w:val="center"/>
            </w:pPr>
            <w:r>
              <w:rPr>
                <w:rFonts w:ascii="Arial" w:cs="Arial" w:eastAsia="Arial" w:hAnsi="Arial"/>
                <w:b/>
                <w:bCs/>
                <w:color w:val="0D2F55"/>
                <w:sz w:val="25"/>
                <w:szCs w:val="25"/>
              </w:rPr>
              <w:t xml:space="preserve">747,458</w:t>
            </w:r>
          </w:p>
          <w:p>
            <w:pPr>
              <w:spacing w:after="110"/>
              <w:jc w:val="center"/>
            </w:pPr>
            <w:r>
              <w:rPr>
                <w:rFonts w:ascii="Arial" w:cs="Arial" w:eastAsia="Arial" w:hAnsi="Arial"/>
                <w:color w:val="555555"/>
                <w:sz w:val="11"/>
                <w:szCs w:val="11"/>
              </w:rPr>
              <w:t xml:space="preserve">HECTÁREAS AGRÍCOLAS</w:t>
            </w:r>
          </w:p>
          <w:p>
            <w:pPr>
              <w:pBdr>
                <w:top w:val="single" w:color="DCE4EC" w:sz="4" w:space="8"/>
              </w:pBdr>
              <w:spacing w:after="20"/>
              <w:jc w:val="center"/>
            </w:pPr>
            <w:r>
              <w:rPr>
                <w:rFonts w:ascii="Arial" w:cs="Arial" w:eastAsia="Arial" w:hAnsi="Arial"/>
                <w:b/>
                <w:bCs/>
                <w:color w:val="2E75B6"/>
                <w:sz w:val="16"/>
                <w:szCs w:val="16"/>
              </w:rPr>
              <w:t xml:space="preserve">$45,038.2M</w:t>
            </w:r>
          </w:p>
          <w:p>
            <w:pPr>
              <w:jc w:val="center"/>
            </w:pPr>
            <w:r>
              <w:rPr>
                <w:rFonts w:ascii="Arial" w:cs="Arial" w:eastAsia="Arial" w:hAnsi="Arial"/>
                <w:color w:val="555555"/>
                <w:sz w:val="16"/>
                <w:szCs w:val="16"/>
              </w:rPr>
              <w:t xml:space="preserve">valor de producción</w:t>
            </w:r>
          </w:p>
        </w:tc>
        <w:tc>
          <w:tcPr>
            <w:tcW w:type="dxa" w:w="3105"/>
            <w:tcBorders>
              <w:top w:val="single" w:color="C9D8E8" w:sz="4"/>
              <w:left w:val="single" w:color="2E75B6" w:sz="20"/>
              <w:bottom w:val="single" w:color="C9D8E8" w:sz="4"/>
              <w:right w:val="single" w:color="C9D8E8" w:sz="4"/>
            </w:tcBorders>
            <w:shd w:fill="FFFFFF" w:val="clear"/>
            <w:tcMar>
              <w:top w:type="dxa" w:w="95"/>
              <w:left w:type="dxa" w:w="130"/>
              <w:bottom w:type="dxa" w:w="95"/>
              <w:right w:type="dxa" w:w="121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CRIMEN</w:t>
            </w:r>
          </w:p>
          <w:p>
            <w:pPr>
              <w:spacing w:after="20"/>
              <w:jc w:val="center"/>
            </w:pPr>
            <w:r>
              <w:rPr>
                <w:rFonts w:ascii="Arial" w:cs="Arial" w:eastAsia="Arial" w:hAnsi="Arial"/>
                <w:b/>
                <w:bCs/>
                <w:color w:val="0D2F55"/>
                <w:sz w:val="25"/>
                <w:szCs w:val="25"/>
              </w:rPr>
              <w:t xml:space="preserve">47,512</w:t>
            </w:r>
          </w:p>
          <w:p>
            <w:pPr>
              <w:spacing w:after="110"/>
              <w:jc w:val="center"/>
            </w:pPr>
            <w:r>
              <w:rPr>
                <w:rFonts w:ascii="Arial" w:cs="Arial" w:eastAsia="Arial" w:hAnsi="Arial"/>
                <w:color w:val="555555"/>
                <w:sz w:val="11"/>
                <w:szCs w:val="11"/>
              </w:rPr>
              <w:t xml:space="preserve">DELITOS REGISTRADOS</w:t>
            </w:r>
          </w:p>
          <w:p>
            <w:pPr>
              <w:pBdr>
                <w:top w:val="single" w:color="DCE4EC" w:sz="4" w:space="8"/>
              </w:pBdr>
              <w:spacing w:after="20"/>
              <w:jc w:val="center"/>
            </w:pPr>
            <w:r>
              <w:rPr>
                <w:rFonts w:ascii="Arial" w:cs="Arial" w:eastAsia="Arial" w:hAnsi="Arial"/>
                <w:b/>
                <w:bCs/>
                <w:color w:val="2E75B6"/>
                <w:sz w:val="16"/>
                <w:szCs w:val="16"/>
              </w:rPr>
              <w:t xml:space="preserve">4.6</w:t>
            </w:r>
          </w:p>
          <w:p>
            <w:pPr>
              <w:jc w:val="center"/>
            </w:pPr>
            <w:r>
              <w:rPr>
                <w:rFonts w:ascii="Arial" w:cs="Arial" w:eastAsia="Arial" w:hAnsi="Arial"/>
                <w:color w:val="555555"/>
                <w:sz w:val="16"/>
                <w:szCs w:val="16"/>
              </w:rPr>
              <w:t xml:space="preserve">robo a negocio</w:t>
            </w:r>
          </w:p>
        </w:tc>
      </w:tr>
    </w:tbl>
    <w:p>
      <w:pPr>
        <w:spacing w:after="90" w:before="0"/>
      </w:pPr>
      <w:r>
        <w:rPr>
          <w:sz w:val="4"/>
          <w:szCs w:val="4"/>
        </w:rPr>
        <w:t xml:space="preserve"/>
      </w:r>
    </w:p>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6760"/>
        <w:gridCol w:w="180"/>
        <w:gridCol w:w="5300"/>
      </w:tblGrid>
      <w:tr>
        <w:trPr>
          <w:cantSplit/>
        </w:trPr>
        <w:tc>
          <w:tcPr>
            <w:tcW w:type="dxa" w:w="6760"/>
            <w:tcBorders>
              <w:top w:val="none" w:color="FFFFFF" w:sz="0"/>
              <w:left w:val="none" w:color="FFFFFF" w:sz="0"/>
              <w:bottom w:val="none" w:color="FFFFFF" w:sz="0"/>
              <w:right w:val="none" w:color="FFFFFF" w:sz="0"/>
            </w:tcBorders>
            <w:shd w:fill="000000" w:val="clear"/>
            <w:tcMar>
              <w:top w:type="dxa" w:w="120"/>
              <w:left w:type="dxa" w:w="1300"/>
              <w:bottom w:type="dxa" w:w="120"/>
              <w:right w:type="dxa" w:w="220"/>
            </w:tcMar>
            <w:vAlign w:val="top"/>
          </w:tcPr>
          <w:p>
            <w:pPr>
              <w:spacing w:after="120"/>
            </w:pPr>
            <w:r>
              <w:rPr>
                <w:rFonts w:ascii="Arial" w:cs="Arial" w:eastAsia="Arial" w:hAnsi="Arial"/>
                <w:b/>
                <w:bCs/>
                <w:color w:val="FFFFFF"/>
                <w:sz w:val="19"/>
                <w:szCs w:val="19"/>
              </w:rPr>
              <w:t xml:space="preserve">HALLAZGOS PRINCIPALES</w:t>
            </w:r>
          </w:p>
          <w:p>
            <w:pPr>
              <w:spacing w:after="120"/>
              <w:jc w:val="both"/>
            </w:pPr>
            <w:r>
              <w:rPr>
                <w:rFonts w:ascii="Arial" w:cs="Arial" w:eastAsia="Arial" w:hAnsi="Arial"/>
                <w:b w:val="false"/>
                <w:bCs w:val="false"/>
                <w:i w:val="false"/>
                <w:iCs w:val="false"/>
                <w:color w:val="FFFFFF"/>
                <w:sz w:val="18"/>
                <w:szCs w:val="18"/>
              </w:rPr>
              <w:t xml:space="preserve">Una región anclada en Morelia que concentra </w:t>
            </w:r>
            <w:r>
              <w:rPr>
                <w:rFonts w:ascii="Arial" w:cs="Arial" w:eastAsia="Arial" w:hAnsi="Arial"/>
                <w:b w:val="false"/>
                <w:bCs w:val="false"/>
                <w:i w:val="false"/>
                <w:iCs w:val="false"/>
                <w:color w:val="7FC3E8"/>
                <w:sz w:val="18"/>
                <w:szCs w:val="18"/>
                <w:u w:val="single"/>
              </w:rPr>
              <w:t xml:space="preserve">37.4% del aguacate y 21.6% de la fresa de México</w:t>
            </w:r>
            <w:r>
              <w:rPr>
                <w:rFonts w:ascii="Arial" w:cs="Arial" w:eastAsia="Arial" w:hAnsi="Arial"/>
                <w:b w:val="false"/>
                <w:bCs w:val="false"/>
                <w:i w:val="false"/>
                <w:iCs w:val="false"/>
                <w:color w:val="FFFFFF"/>
                <w:sz w:val="18"/>
                <w:szCs w:val="18"/>
              </w:rPr>
              <w:t xml:space="preserve">, con un mercado formal denso en lo básico y casi vacío en ocio y retail especializado.</w:t>
            </w:r>
          </w:p>
          <w:p>
            <w:pPr>
              <w:jc w:val="both"/>
            </w:pPr>
            <w:r>
              <w:rPr>
                <w:rFonts w:ascii="Arial" w:cs="Arial" w:eastAsia="Arial" w:hAnsi="Arial"/>
                <w:b/>
                <w:bCs/>
                <w:i/>
                <w:iCs/>
                <w:color w:val="FFFFFF"/>
                <w:sz w:val="24"/>
                <w:szCs w:val="24"/>
              </w:rPr>
              <w:t xml:space="preserve">El campo ya es de talla mundial. La pregunta es cuánto de ese valor se queda aquí.</w:t>
            </w:r>
          </w:p>
        </w:tc>
        <w:tc>
          <w:tcPr>
            <w:tcW w:type="dxa" w:w="180"/>
            <w:tcBorders>
              <w:top w:val="none" w:color="FFFFFF" w:sz="0"/>
              <w:left w:val="none" w:color="FFFFFF" w:sz="0"/>
              <w:bottom w:val="none" w:color="FFFFFF" w:sz="0"/>
              <w:right w:val="none" w:color="FFFFFF" w:sz="0"/>
            </w:tcBorders>
            <w:shd w:fill="FFFFFF" w:val="clear"/>
            <w:tcMar>
              <w:top w:type="dxa" w:w="0"/>
              <w:left w:type="dxa" w:w="0"/>
              <w:bottom w:type="dxa" w:w="0"/>
              <w:right w:type="dxa" w:w="0"/>
            </w:tcMar>
          </w:tcPr>
          <w:p/>
        </w:tc>
        <w:tc>
          <w:tcPr>
            <w:tcW w:type="dxa" w:w="5300"/>
            <w:tcBorders>
              <w:top w:val="none" w:color="FFFFFF" w:sz="0"/>
              <w:left w:val="none" w:color="FFFFFF" w:sz="0"/>
              <w:bottom w:val="none" w:color="FFFFFF" w:sz="0"/>
              <w:right w:val="none" w:color="FFFFFF" w:sz="0"/>
            </w:tcBorders>
            <w:shd w:fill="D9D9D9" w:val="clear"/>
            <w:tcMar>
              <w:top w:type="dxa" w:w="120"/>
              <w:left w:type="dxa" w:w="220"/>
              <w:bottom w:type="dxa" w:w="120"/>
              <w:right w:type="dxa" w:w="1300"/>
            </w:tcMar>
            <w:vAlign w:val="top"/>
          </w:tcPr>
          <w:p>
            <w:pPr>
              <w:spacing w:after="100"/>
            </w:pPr>
            <w:r>
              <w:rPr>
                <w:rFonts w:ascii="Arial" w:cs="Arial" w:eastAsia="Arial" w:hAnsi="Arial"/>
                <w:b/>
                <w:bCs/>
                <w:color w:val="1B4F8A"/>
                <w:sz w:val="19"/>
                <w:szCs w:val="19"/>
              </w:rPr>
              <w:t xml:space="preserve">FICHA TÉCNICA</w:t>
            </w:r>
          </w:p>
          <w:tbl>
            <w:tblPr>
              <w:tblW w:type="dxa" w:w="3900"/>
              <w:tblBorders>
                <w:top w:val="single" w:color="auto" w:sz="4"/>
                <w:left w:val="single" w:color="auto" w:sz="4"/>
                <w:bottom w:val="single" w:color="auto" w:sz="4"/>
                <w:right w:val="single" w:color="auto" w:sz="4"/>
                <w:insideH w:val="single" w:color="auto" w:sz="4"/>
                <w:insideV w:val="single" w:color="auto" w:sz="4"/>
              </w:tblBorders>
            </w:tblPr>
            <w:tblGrid>
              <w:gridCol w:w="420"/>
              <w:gridCol w:w="1330"/>
              <w:gridCol w:w="2150"/>
            </w:tblGrid>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Municipio principal</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Morelia</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Total de municipios en el área</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78</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NSE dominante</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D, E y NA (70.3%)</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Unidades económicas</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208,949</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Fuentes</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INEGI 2020-2024 + SMN 2024 + SNSP 2025</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45"/>
                    <w:left w:type="dxa" w:w="0"/>
                    <w:bottom w:type="dxa" w:w="45"/>
                    <w:right w:type="dxa" w:w="60"/>
                  </w:tcMar>
                  <w:vAlign w:val="center"/>
                </w:tcPr>
                <w:p>
                  <w:r>
                    <w:rPr>
                      <w:rFonts w:ascii="Arial" w:cs="Arial" w:eastAsia="Arial" w:hAnsi="Arial"/>
                      <w:b/>
                      <w:bCs/>
                      <w:color w:val="555555"/>
                      <w:sz w:val="16"/>
                      <w:szCs w:val="16"/>
                    </w:rPr>
                    <w:t xml:space="preserve">Fecha del reporte</w:t>
                  </w:r>
                </w:p>
              </w:tc>
              <w:tc>
                <w:tcPr>
                  <w:tcW w:type="dxa" w:w="2150"/>
                  <w:tcBorders>
                    <w:top w:val="none" w:color="FFFFFF" w:sz="0"/>
                    <w:left w:val="none" w:color="FFFFFF" w:sz="0"/>
                    <w:bottom w:val="none" w:color="FFFFFF" w:sz="0"/>
                    <w:right w:val="none" w:color="FFFFFF" w:sz="0"/>
                  </w:tcBorders>
                  <w:shd w:fill="D9D9D9" w:val="clear"/>
                  <w:tcMar>
                    <w:top w:type="dxa" w:w="45"/>
                    <w:left w:type="dxa" w:w="0"/>
                    <w:bottom w:type="dxa" w:w="45"/>
                    <w:right w:type="dxa" w:w="0"/>
                  </w:tcMar>
                  <w:vAlign w:val="center"/>
                </w:tcPr>
                <w:p>
                  <w:r>
                    <w:rPr>
                      <w:rFonts w:ascii="Arial" w:cs="Arial" w:eastAsia="Arial" w:hAnsi="Arial"/>
                      <w:color w:val="333333"/>
                      <w:sz w:val="16"/>
                      <w:szCs w:val="16"/>
                    </w:rPr>
                    <w:t xml:space="preserve">25 de agosto de 2026</w:t>
                  </w:r>
                </w:p>
              </w:tc>
            </w:tr>
          </w:tbl>
          <w:p/>
        </w:tc>
      </w:tr>
    </w:tbl>
    <w:p>
      <w:pPr>
        <w:sectPr>
          <w:headerReference w:type="default" r:id="rId7"/>
          <w:footerReference w:type="default" r:id="rId8"/>
          <w:pgSz w:w="12240" w:h="15840" w:orient="portrait"/>
          <w:pgMar w:top="1080" w:right="1080" w:bottom="1400" w:left="1080" w:header="708" w:footer="708" w:gutter="0"/>
          <w:pgNumType/>
          <w:docGrid w:linePitch="360"/>
        </w:sectPr>
      </w:pPr>
    </w:p>
    <w:p>
      <w:pPr>
        <w:keepNext/>
        <w:keepLines/>
        <w:pBdr>
          <w:bottom w:val="single" w:color="2E75B6" w:sz="12" w:space="4"/>
        </w:pBdr>
        <w:spacing w:after="60" w:before="120"/>
      </w:pPr>
      <w:r>
        <w:rPr>
          <w:rFonts w:ascii="Arial" w:cs="Arial" w:eastAsia="Arial" w:hAnsi="Arial"/>
          <w:b/>
          <w:bCs/>
          <w:color w:val="1B4F8A"/>
          <w:sz w:val="32"/>
          <w:szCs w:val="32"/>
        </w:rPr>
        <w:t xml:space="preserve">01  ·  INTRODUCCIÓN</w:t>
      </w:r>
    </w:p>
    <w:p>
      <w:pPr>
        <w:keepNext/>
        <w:spacing w:after="200" w:before="60"/>
      </w:pPr>
      <w:r>
        <w:rPr>
          <w:rFonts w:ascii="Arial" w:cs="Arial" w:eastAsia="Arial" w:hAnsi="Arial"/>
          <w:i/>
          <w:iCs/>
          <w:color w:val="555555"/>
          <w:sz w:val="21"/>
          <w:szCs w:val="21"/>
        </w:rPr>
        <w:t xml:space="preserve">¿Qué es el geoanálisis municipal y por qué este reporte reduce el riesgo de tu inversión?</w:t>
      </w:r>
    </w:p>
    <w:p>
      <w:pPr>
        <w:spacing w:after="160"/>
        <w:jc w:val="both"/>
      </w:pPr>
      <w:r>
        <w:rPr>
          <w:rFonts w:ascii="Arial" w:cs="Arial" w:eastAsia="Arial" w:hAnsi="Arial"/>
          <w:b w:val="false"/>
          <w:bCs w:val="false"/>
          <w:i w:val="false"/>
          <w:iCs w:val="false"/>
          <w:color w:val="404040"/>
          <w:sz w:val="22"/>
          <w:szCs w:val="22"/>
        </w:rPr>
        <w:t xml:space="preserve">Este reporte presenta un análisis geoestadístico del área definida por un radio de 100 kilómetros alrededor del punto 19.7262, -101.1868, con centro en el municipio de Morelia, Michoacán. El área agrega 78 municipios y suma 3,584,675 habitantes.</w:t>
      </w:r>
    </w:p>
    <w:p>
      <w:pPr>
        <w:spacing w:after="160"/>
        <w:jc w:val="both"/>
      </w:pPr>
      <w:r>
        <w:rPr>
          <w:rFonts w:ascii="Arial" w:cs="Arial" w:eastAsia="Arial" w:hAnsi="Arial"/>
          <w:b w:val="false"/>
          <w:bCs w:val="false"/>
          <w:i w:val="false"/>
          <w:iCs w:val="false"/>
          <w:color w:val="404040"/>
          <w:sz w:val="22"/>
          <w:szCs w:val="22"/>
        </w:rPr>
        <w:t xml:space="preserve">Los datos provienen de fuentes oficiales: el INEGI (Censo de Población y Vivienda 2020, Censo Económico, Censo Agropecuario y Parque Vehicular 2023), el Servicio Meteorológico Nacional, el Secretariado Ejecutivo del Sistema Nacional de Seguridad Pública y el modelo estadístico MktCompass.</w:t>
      </w:r>
    </w:p>
    <w:p>
      <w:pPr>
        <w:spacing w:after="160"/>
        <w:jc w:val="both"/>
      </w:pPr>
      <w:r>
        <w:rPr>
          <w:rFonts w:ascii="Arial" w:cs="Arial" w:eastAsia="Arial" w:hAnsi="Arial"/>
          <w:b w:val="false"/>
          <w:bCs w:val="false"/>
          <w:i w:val="false"/>
          <w:iCs w:val="false"/>
          <w:color w:val="404040"/>
          <w:sz w:val="22"/>
          <w:szCs w:val="22"/>
        </w:rPr>
        <w:t xml:space="preserve">El geomarketing consiste en usar datos del territorio para decidir dónde y a quién vender. En lugar de suponer, se mide: cuánta gente vive en el área, qué puede gastar, qué se produce, qué marcas ya operan y qué condiciones del entorno encarecen o facilitan un negocio.</w:t>
      </w:r>
    </w:p>
    <w:p>
      <w:pPr>
        <w:spacing w:after="80"/>
        <w:jc w:val="both"/>
      </w:pPr>
      <w:r>
        <w:rPr>
          <w:rFonts w:ascii="Arial" w:cs="Arial" w:eastAsia="Arial" w:hAnsi="Arial"/>
          <w:b w:val="false"/>
          <w:bCs w:val="false"/>
          <w:i w:val="false"/>
          <w:iCs w:val="false"/>
          <w:color w:val="404040"/>
          <w:sz w:val="22"/>
          <w:szCs w:val="22"/>
        </w:rPr>
        <w:t xml:space="preserve">El análisis responde tres preguntas fundamentales:</w:t>
      </w:r>
    </w:p>
    <w:p>
      <w:pPr>
        <w:pStyle w:val="ListParagraph"/>
        <w:numPr>
          <w:ilvl w:val="0"/>
          <w:numId w:val="2"/>
        </w:numPr>
        <w:spacing w:after="40"/>
        <w:jc w:val="both"/>
      </w:pPr>
      <w:r>
        <w:rPr>
          <w:rFonts w:ascii="Arial" w:cs="Arial" w:eastAsia="Arial" w:hAnsi="Arial"/>
          <w:b w:val="false"/>
          <w:bCs w:val="false"/>
          <w:i w:val="false"/>
          <w:iCs w:val="false"/>
          <w:color w:val="404040"/>
          <w:sz w:val="22"/>
          <w:szCs w:val="22"/>
        </w:rPr>
        <w:t xml:space="preserve">¿Quiénes son los habitantes y trabajadores de esta región y cuál es su poder adquisitivo?</w:t>
      </w:r>
    </w:p>
    <w:p>
      <w:pPr>
        <w:pStyle w:val="ListParagraph"/>
        <w:numPr>
          <w:ilvl w:val="0"/>
          <w:numId w:val="2"/>
        </w:numPr>
        <w:spacing w:after="40"/>
        <w:jc w:val="both"/>
      </w:pPr>
      <w:r>
        <w:rPr>
          <w:rFonts w:ascii="Arial" w:cs="Arial" w:eastAsia="Arial" w:hAnsi="Arial"/>
          <w:b w:val="false"/>
          <w:bCs w:val="false"/>
          <w:i w:val="false"/>
          <w:iCs w:val="false"/>
          <w:color w:val="404040"/>
          <w:sz w:val="22"/>
          <w:szCs w:val="22"/>
        </w:rPr>
        <w:t xml:space="preserve">¿Cuál es la estructura económica de la región: empleo formal, ganadería y agricultura?</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¿Qué condiciones del entorno (clima, crimen, movilidad) afectan la viabilidad de instalar o expandir un negocio?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6960"/>
      </w:tblGrid>
      <w:tr>
        <w:trPr>
          <w:cantSplit/>
        </w:trPr>
        <w:tc>
          <w:tcPr>
            <w:tcW w:type="dxa" w:w="2400"/>
            <w:tcBorders>
              <w:top w:val="single" w:color="FFFFFF" w:sz="8"/>
              <w:left w:val="single" w:color="FFFFFF" w:sz="8"/>
              <w:bottom w:val="single" w:color="FFFFFF" w:sz="8"/>
              <w:right w:val="single" w:color="FFFFFF" w:sz="8"/>
            </w:tcBorders>
            <w:shd w:fill="0D2F55" w:val="clear"/>
            <w:tcMar>
              <w:top w:type="dxa" w:w="100"/>
              <w:left w:type="dxa" w:w="140"/>
              <w:bottom w:type="dxa" w:w="100"/>
              <w:right w:type="dxa" w:w="140"/>
            </w:tcMar>
            <w:vAlign w:val="center"/>
          </w:tcPr>
          <w:p>
            <w:pPr>
              <w:jc w:val="left"/>
            </w:pPr>
            <w:r>
              <w:rPr>
                <w:rFonts w:ascii="Arial" w:cs="Arial" w:eastAsia="Arial" w:hAnsi="Arial"/>
                <w:b/>
                <w:bCs/>
                <w:i w:val="false"/>
                <w:iCs w:val="false"/>
                <w:color w:val="FFFFFF"/>
                <w:sz w:val="20"/>
                <w:szCs w:val="20"/>
              </w:rPr>
              <w:t xml:space="preserve">DATOS DUROS</w:t>
            </w:r>
          </w:p>
        </w:tc>
        <w:tc>
          <w:tcPr>
            <w:tcW w:type="dxa" w:w="6960"/>
            <w:tcBorders>
              <w:top w:val="single" w:color="FFFFFF" w:sz="8"/>
              <w:left w:val="single" w:color="FFFFFF" w:sz="8"/>
              <w:bottom w:val="single" w:color="FFFFFF" w:sz="8"/>
              <w:right w:val="single" w:color="FFFFFF" w:sz="8"/>
            </w:tcBorders>
            <w:shd w:fill="EAF4FB"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333333"/>
                <w:sz w:val="19"/>
                <w:szCs w:val="19"/>
              </w:rPr>
              <w:t xml:space="preserve">Censos y registros oficiales del INEGI y dependencias federales, con cobertura nacional y metodología rigurosa.</w:t>
            </w:r>
          </w:p>
        </w:tc>
      </w:tr>
      <w:tr>
        <w:trPr>
          <w:cantSplit/>
        </w:trPr>
        <w:tc>
          <w:tcPr>
            <w:tcW w:type="dxa" w:w="2400"/>
            <w:tcBorders>
              <w:top w:val="single" w:color="FFFFFF" w:sz="8"/>
              <w:left w:val="single" w:color="FFFFFF" w:sz="8"/>
              <w:bottom w:val="single" w:color="FFFFFF" w:sz="8"/>
              <w:right w:val="single" w:color="FFFFFF" w:sz="8"/>
            </w:tcBorders>
            <w:shd w:fill="0D2F55" w:val="clear"/>
            <w:tcMar>
              <w:top w:type="dxa" w:w="100"/>
              <w:left w:type="dxa" w:w="140"/>
              <w:bottom w:type="dxa" w:w="100"/>
              <w:right w:type="dxa" w:w="140"/>
            </w:tcMar>
            <w:vAlign w:val="center"/>
          </w:tcPr>
          <w:p>
            <w:pPr>
              <w:jc w:val="left"/>
            </w:pPr>
            <w:r>
              <w:rPr>
                <w:rFonts w:ascii="Arial" w:cs="Arial" w:eastAsia="Arial" w:hAnsi="Arial"/>
                <w:b/>
                <w:bCs/>
                <w:i w:val="false"/>
                <w:iCs w:val="false"/>
                <w:color w:val="FFFFFF"/>
                <w:sz w:val="20"/>
                <w:szCs w:val="20"/>
              </w:rPr>
              <w:t xml:space="preserve">PRECISIÓN</w:t>
            </w:r>
          </w:p>
        </w:tc>
        <w:tc>
          <w:tcPr>
            <w:tcW w:type="dxa" w:w="6960"/>
            <w:tcBorders>
              <w:top w:val="single" w:color="FFFFFF" w:sz="8"/>
              <w:left w:val="single" w:color="FFFFFF" w:sz="8"/>
              <w:bottom w:val="single" w:color="FFFFFF" w:sz="8"/>
              <w:right w:val="single" w:color="FFFFFF" w:sz="8"/>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333333"/>
                <w:sz w:val="19"/>
                <w:szCs w:val="19"/>
              </w:rPr>
              <w:t xml:space="preserve">Delimitación geográfica exacta del área analizada, con comparativos nacionales por decil para cada indicador.</w:t>
            </w:r>
          </w:p>
        </w:tc>
      </w:tr>
      <w:tr>
        <w:trPr>
          <w:cantSplit/>
        </w:trPr>
        <w:tc>
          <w:tcPr>
            <w:tcW w:type="dxa" w:w="2400"/>
            <w:tcBorders>
              <w:top w:val="single" w:color="FFFFFF" w:sz="8"/>
              <w:left w:val="single" w:color="FFFFFF" w:sz="8"/>
              <w:bottom w:val="single" w:color="FFFFFF" w:sz="8"/>
              <w:right w:val="single" w:color="FFFFFF" w:sz="8"/>
            </w:tcBorders>
            <w:shd w:fill="0D2F55" w:val="clear"/>
            <w:tcMar>
              <w:top w:type="dxa" w:w="100"/>
              <w:left w:type="dxa" w:w="140"/>
              <w:bottom w:type="dxa" w:w="100"/>
              <w:right w:type="dxa" w:w="140"/>
            </w:tcMar>
            <w:vAlign w:val="center"/>
          </w:tcPr>
          <w:p>
            <w:pPr>
              <w:jc w:val="left"/>
            </w:pPr>
            <w:r>
              <w:rPr>
                <w:rFonts w:ascii="Arial" w:cs="Arial" w:eastAsia="Arial" w:hAnsi="Arial"/>
                <w:b/>
                <w:bCs/>
                <w:i w:val="false"/>
                <w:iCs w:val="false"/>
                <w:color w:val="FFFFFF"/>
                <w:sz w:val="20"/>
                <w:szCs w:val="20"/>
              </w:rPr>
              <w:t xml:space="preserve">INSIGHTS</w:t>
            </w:r>
          </w:p>
        </w:tc>
        <w:tc>
          <w:tcPr>
            <w:tcW w:type="dxa" w:w="6960"/>
            <w:tcBorders>
              <w:top w:val="single" w:color="FFFFFF" w:sz="8"/>
              <w:left w:val="single" w:color="FFFFFF" w:sz="8"/>
              <w:bottom w:val="single" w:color="FFFFFF" w:sz="8"/>
              <w:right w:val="single" w:color="FFFFFF" w:sz="8"/>
            </w:tcBorders>
            <w:shd w:fill="EAF4FB"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333333"/>
                <w:sz w:val="19"/>
                <w:szCs w:val="19"/>
              </w:rPr>
              <w:t xml:space="preserve">Hallazgos accionables sobre demografía, estructura económica, producción agropecuaria, clima, crimen y movilidad.</w:t>
            </w:r>
          </w:p>
        </w:tc>
      </w:tr>
      <w:tr>
        <w:trPr>
          <w:cantSplit/>
        </w:trPr>
        <w:tc>
          <w:tcPr>
            <w:tcW w:type="dxa" w:w="2400"/>
            <w:tcBorders>
              <w:top w:val="single" w:color="FFFFFF" w:sz="8"/>
              <w:left w:val="single" w:color="FFFFFF" w:sz="8"/>
              <w:bottom w:val="single" w:color="FFFFFF" w:sz="8"/>
              <w:right w:val="single" w:color="FFFFFF" w:sz="8"/>
            </w:tcBorders>
            <w:shd w:fill="0D2F55" w:val="clear"/>
            <w:tcMar>
              <w:top w:type="dxa" w:w="100"/>
              <w:left w:type="dxa" w:w="140"/>
              <w:bottom w:type="dxa" w:w="100"/>
              <w:right w:type="dxa" w:w="140"/>
            </w:tcMar>
            <w:vAlign w:val="center"/>
          </w:tcPr>
          <w:p>
            <w:pPr>
              <w:jc w:val="left"/>
            </w:pPr>
            <w:r>
              <w:rPr>
                <w:rFonts w:ascii="Arial" w:cs="Arial" w:eastAsia="Arial" w:hAnsi="Arial"/>
                <w:b/>
                <w:bCs/>
                <w:i w:val="false"/>
                <w:iCs w:val="false"/>
                <w:color w:val="FFFFFF"/>
                <w:sz w:val="20"/>
                <w:szCs w:val="20"/>
              </w:rPr>
              <w:t xml:space="preserve">ACCIÓN</w:t>
            </w:r>
          </w:p>
        </w:tc>
        <w:tc>
          <w:tcPr>
            <w:tcW w:type="dxa" w:w="6960"/>
            <w:tcBorders>
              <w:top w:val="single" w:color="FFFFFF" w:sz="8"/>
              <w:left w:val="single" w:color="FFFFFF" w:sz="8"/>
              <w:bottom w:val="single" w:color="FFFFFF" w:sz="8"/>
              <w:right w:val="single" w:color="FFFFFF" w:sz="8"/>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333333"/>
                <w:sz w:val="19"/>
                <w:szCs w:val="19"/>
              </w:rPr>
              <w:t xml:space="preserve">Oportunidades de negocio derivadas del perfil real de la región, sin inventar datos que no existen.</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método claro y las fuentes identificadas, pasamos a conocer a fondo quiénes habitan esta región — porque el primer paso para identificar una oportunidad es entender a quién le vas a vender.</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02  ·  PERFIL SOCIOECONÓMICO DE LA POBLACIÓN</w:t>
      </w:r>
    </w:p>
    <w:p>
      <w:pPr>
        <w:keepNext/>
        <w:spacing w:after="200" w:before="60"/>
      </w:pPr>
      <w:r>
        <w:rPr>
          <w:rFonts w:ascii="Arial" w:cs="Arial" w:eastAsia="Arial" w:hAnsi="Arial"/>
          <w:i/>
          <w:iCs/>
          <w:color w:val="555555"/>
          <w:sz w:val="21"/>
          <w:szCs w:val="21"/>
        </w:rPr>
        <w:t xml:space="preserve">¿Quiénes viven aquí, cuántos son y qué tan alto es su poder adquisitivo?</w:t>
      </w:r>
    </w:p>
    <w:p>
      <w:pPr>
        <w:spacing w:after="160"/>
        <w:jc w:val="both"/>
      </w:pPr>
      <w:r>
        <w:rPr>
          <w:rFonts w:ascii="Arial" w:cs="Arial" w:eastAsia="Arial" w:hAnsi="Arial"/>
          <w:b w:val="false"/>
          <w:bCs w:val="false"/>
          <w:i w:val="false"/>
          <w:iCs w:val="false"/>
          <w:color w:val="404040"/>
          <w:sz w:val="22"/>
          <w:szCs w:val="22"/>
        </w:rPr>
        <w:t xml:space="preserve">El Nivel Socioeconómico (NSE) agrupa a los hogares según su capacidad de gasto, nivel educativo y acceso a servicios. En México se emplean los niveles A/B (alto), C+ (medio-alto), C (medio), C– (medio-bajo), D (popular) y E (muy bajo). El NSE es el primer filtro para cualquier negocio: determina qué precios, productos y estrategias son apropiados en la zona.</w:t>
      </w:r>
    </w:p>
    <w:p>
      <w:pPr>
        <w:keepNext/>
        <w:keepLines/>
        <w:spacing w:after="120" w:before="200"/>
      </w:pPr>
      <w:r>
        <w:rPr>
          <w:rFonts w:ascii="Arial" w:cs="Arial" w:eastAsia="Arial" w:hAnsi="Arial"/>
          <w:b/>
          <w:bCs/>
          <w:color w:val="2E75B6"/>
          <w:sz w:val="26"/>
          <w:szCs w:val="26"/>
        </w:rPr>
        <w:t xml:space="preserve">Distribución socioeconómica de la población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2000"/>
        <w:gridCol w:w="1800"/>
        <w:gridCol w:w="2560"/>
      </w:tblGrid>
      <w:tr>
        <w:trPr>
          <w:cantSplit/>
          <w:tblHeader/>
        </w:trPr>
        <w:tc>
          <w:tcPr>
            <w:tcW w:type="dxa" w:w="3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NSE</w:t>
            </w:r>
          </w:p>
        </w:tc>
        <w:tc>
          <w:tcPr>
            <w:tcW w:type="dxa" w:w="2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Población</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25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 vs. promedio nacional</w:t>
            </w:r>
          </w:p>
        </w:tc>
      </w:tr>
      <w:tr>
        <w:trPr>
          <w:cantSplit/>
        </w:trPr>
        <w:tc>
          <w:tcPr>
            <w:tcW w:type="dxa" w:w="3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NSE AB y C+ (alto / medio-alto)</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49,733</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1.4%</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r>
        <w:trPr>
          <w:cantSplit/>
        </w:trPr>
        <w:tc>
          <w:tcPr>
            <w:tcW w:type="dxa" w:w="3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NSE C y C- (medio y medio-bajo)</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1,014,863</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28.3%</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NSE D, E y NA (popular, bajo y no identificado)</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2,520,075</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70.3%</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 población</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3,584,671</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spacing w:after="160" w:before="60"/>
        <w:jc w:val="both"/>
      </w:pPr>
      <w:r>
        <w:rPr>
          <w:rFonts w:ascii="Arial" w:cs="Arial" w:eastAsia="Arial" w:hAnsi="Arial"/>
          <w:i/>
          <w:iCs/>
          <w:color w:val="555555"/>
          <w:sz w:val="17"/>
          <w:szCs w:val="17"/>
        </w:rPr>
        <w:t xml:space="preserve">El INEGI no publica parte de la información por confidencialidad estadística, así que los renglones de esta tabla no suman el total de la categoría y los porcentajes no suman 100%. Los datos clasificados cubren 100% de la población del área (3,584,671 de 3,584,675). El faltante no se reconstruye ni se estima.</w:t>
      </w:r>
    </w:p>
    <w:p>
      <w:pPr>
        <w:spacing w:after="160"/>
        <w:jc w:val="both"/>
      </w:pPr>
      <w:r>
        <w:rPr>
          <w:rFonts w:ascii="Arial" w:cs="Arial" w:eastAsia="Arial" w:hAnsi="Arial"/>
          <w:b w:val="false"/>
          <w:bCs w:val="false"/>
          <w:i w:val="false"/>
          <w:iCs w:val="false"/>
          <w:color w:val="404040"/>
          <w:sz w:val="22"/>
          <w:szCs w:val="22"/>
        </w:rPr>
        <w:t xml:space="preserve">El área está dominada por los niveles D, E y NA, que agrupan a 2,520,075 personas (70.3%, calificación bajo frente al promedio nacional): un mercado popular donde el precio y la utilidad pesan más que la marca. El dato que cambia la lectura es el bloque C y C–, con 1,014,863 personas (28.3%, calificación alta): es una base de clase media real, no un residuo, y en volumen supera a la población de muchas capitales estatales. El NSE ABC+ es apenas 49,733 personas (1.4%), pero con calificación muy alto frente al promedio nacional: un nicho pequeño en volumen que no sostiene una recomendación número uno, pero sí justifica una línea premium dentro de un formato más amplio.</w:t>
      </w:r>
    </w:p>
    <w:p>
      <w:pPr>
        <w:keepNext/>
        <w:keepLines/>
        <w:spacing w:after="120" w:before="200"/>
      </w:pPr>
      <w:r>
        <w:rPr>
          <w:rFonts w:ascii="Arial" w:cs="Arial" w:eastAsia="Arial" w:hAnsi="Arial"/>
          <w:b/>
          <w:bCs/>
          <w:color w:val="2E75B6"/>
          <w:sz w:val="26"/>
          <w:szCs w:val="26"/>
        </w:rPr>
        <w:t xml:space="preserve">Distribución de la población por grupo de edad</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600"/>
        <w:gridCol w:w="2100"/>
        <w:gridCol w:w="2100"/>
        <w:gridCol w:w="2560"/>
      </w:tblGrid>
      <w:tr>
        <w:trPr>
          <w:cantSplit/>
          <w:tblHeader/>
        </w:trPr>
        <w:tc>
          <w:tcPr>
            <w:tcW w:type="dxa" w:w="2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Grupo de edad</w:t>
            </w:r>
          </w:p>
        </w:tc>
        <w:tc>
          <w:tcPr>
            <w:tcW w:type="dxa" w:w="21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Población</w:t>
            </w:r>
          </w:p>
        </w:tc>
        <w:tc>
          <w:tcPr>
            <w:tcW w:type="dxa" w:w="21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25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 vs. promedio nacional</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0 a 4 años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309,662</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5 a 9 años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318,995</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8.9%</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10 a 14 años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315,546</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8.8%</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15 a 19 años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307,208</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20 a 24 años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297,565</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8.3%</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25 a 29 años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277,138</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7.7%</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30 a 39 años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501,295</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14.0%</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40 a 49 años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438,595</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12.2%</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50 a 59 años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341,213</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9.5%</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60 a 69 años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247,402</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6.9%</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70 años o más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230,056</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6.4%</w:t>
            </w:r>
          </w:p>
        </w:tc>
        <w:tc>
          <w:tcPr>
            <w:tcW w:type="dxa" w:w="2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 población</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3,584,675</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2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spacing w:after="160" w:before="60"/>
        <w:jc w:val="both"/>
      </w:pPr>
      <w:r>
        <w:rPr>
          <w:rFonts w:ascii="Arial" w:cs="Arial" w:eastAsia="Arial" w:hAnsi="Arial"/>
          <w:i/>
          <w:iCs/>
          <w:color w:val="555555"/>
          <w:sz w:val="17"/>
          <w:szCs w:val="17"/>
        </w:rPr>
        <w:t xml:space="preserve">El INEGI no publica parte de la información por confidencialidad estadística, así que los renglones de esta tabla no suman el total de la categoría y los porcentajes no suman 100%. Los datos clasificados cubren 100% de la población del área (3,584,675 de 3,584,675). El faltante no se reconstruye ni se estima.</w:t>
      </w:r>
    </w:p>
    <w:p>
      <w:pPr>
        <w:spacing w:after="160"/>
        <w:jc w:val="both"/>
      </w:pPr>
      <w:r>
        <w:rPr>
          <w:rFonts w:ascii="Arial" w:cs="Arial" w:eastAsia="Arial" w:hAnsi="Arial"/>
          <w:b w:val="false"/>
          <w:bCs w:val="false"/>
          <w:i w:val="false"/>
          <w:iCs w:val="false"/>
          <w:color w:val="404040"/>
          <w:sz w:val="22"/>
          <w:szCs w:val="22"/>
        </w:rPr>
        <w:t xml:space="preserve">La estructura de edad favorece los grupos de 20 a 39 años, los tres por encima del promedio nacional: 20 a 24 años con 297,565 personas (8.3%), 25 a 29 con 277,138 (7.7%) y 30 a 39 con 501,295 (14.0%), un total de 1,075,998 personas. Es población en edad de formar hogar y de consumo activo. Los grupos de 5 a 14 años están por debajo del promedio nacional, señal de una estructura que ya empezó a madurar sin ser todavía una población mayor.</w:t>
      </w:r>
    </w:p>
    <w:p>
      <w:pPr>
        <w:keepNext/>
        <w:keepLines/>
        <w:spacing w:after="120" w:before="200"/>
      </w:pPr>
      <w:r>
        <w:rPr>
          <w:rFonts w:ascii="Arial" w:cs="Arial" w:eastAsia="Arial" w:hAnsi="Arial"/>
          <w:b/>
          <w:bCs/>
          <w:color w:val="2E75B6"/>
          <w:sz w:val="26"/>
          <w:szCs w:val="26"/>
        </w:rPr>
        <w:t xml:space="preserve">Datos demográficos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200"/>
        <w:gridCol w:w="2100"/>
        <w:gridCol w:w="2200"/>
        <w:gridCol w:w="1860"/>
      </w:tblGrid>
      <w:tr>
        <w:trPr>
          <w:cantSplit/>
          <w:tblHeader/>
        </w:trPr>
        <w:tc>
          <w:tcPr>
            <w:tcW w:type="dxa" w:w="3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Indicador</w:t>
            </w:r>
          </w:p>
        </w:tc>
        <w:tc>
          <w:tcPr>
            <w:tcW w:type="dxa" w:w="21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Dato</w:t>
            </w:r>
          </w:p>
        </w:tc>
        <w:tc>
          <w:tcPr>
            <w:tcW w:type="dxa" w:w="2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 Referencia</w:t>
            </w:r>
          </w:p>
        </w:tc>
        <w:tc>
          <w:tcPr>
            <w:tcW w:type="dxa" w:w="18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total 2020</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3,584,675</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100.0%</w:t>
            </w:r>
          </w:p>
        </w:tc>
        <w:tc>
          <w:tcPr>
            <w:tcW w:type="dxa" w:w="1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3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total 2010</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3,301,655</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Crecimiento: +8.6%</w:t>
            </w:r>
          </w:p>
        </w:tc>
        <w:tc>
          <w:tcPr>
            <w:tcW w:type="dxa" w:w="1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En crecimiento</w:t>
            </w:r>
          </w:p>
        </w:tc>
      </w:tr>
      <w:tr>
        <w:trPr>
          <w:cantSplit/>
        </w:trPr>
        <w:tc>
          <w:tcPr>
            <w:tcW w:type="dxa" w:w="3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femenina</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1,853,051</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51.7%</w:t>
            </w:r>
          </w:p>
        </w:tc>
        <w:tc>
          <w:tcPr>
            <w:tcW w:type="dxa" w:w="1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3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masculina</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1,731,624</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48.3%</w:t>
            </w:r>
          </w:p>
        </w:tc>
        <w:tc>
          <w:tcPr>
            <w:tcW w:type="dxa" w:w="1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3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PEA (población económicamente activa)</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1,712,680</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47.8%</w:t>
            </w:r>
          </w:p>
        </w:tc>
        <w:tc>
          <w:tcPr>
            <w:tcW w:type="dxa" w:w="1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r>
        <w:trPr>
          <w:cantSplit/>
        </w:trPr>
        <w:tc>
          <w:tcPr>
            <w:tcW w:type="dxa" w:w="3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con derecho a seguridad social</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1,150,249</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32.1%</w:t>
            </w:r>
          </w:p>
        </w:tc>
        <w:tc>
          <w:tcPr>
            <w:tcW w:type="dxa" w:w="1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r>
        <w:trPr>
          <w:cantSplit/>
        </w:trPr>
        <w:tc>
          <w:tcPr>
            <w:tcW w:type="dxa" w:w="3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sin derecho a seguridad social</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2,426,944</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67.7%</w:t>
            </w:r>
          </w:p>
        </w:tc>
        <w:tc>
          <w:tcPr>
            <w:tcW w:type="dxa" w:w="1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r>
        <w:trPr>
          <w:cantSplit/>
        </w:trPr>
        <w:tc>
          <w:tcPr>
            <w:tcW w:type="dxa" w:w="3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Viviendas totales</w:t>
            </w:r>
          </w:p>
        </w:tc>
        <w:tc>
          <w:tcPr>
            <w:tcW w:type="dxa" w:w="21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1,316,607</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1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3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Viviendas habitadas</w:t>
            </w:r>
          </w:p>
        </w:tc>
        <w:tc>
          <w:tcPr>
            <w:tcW w:type="dxa" w:w="21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961,557</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73.0%</w:t>
            </w:r>
          </w:p>
        </w:tc>
        <w:tc>
          <w:tcPr>
            <w:tcW w:type="dxa" w:w="1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Bienes en el hogar (penetración y decil)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800"/>
        <w:gridCol w:w="1700"/>
        <w:gridCol w:w="1700"/>
        <w:gridCol w:w="1000"/>
        <w:gridCol w:w="2160"/>
      </w:tblGrid>
      <w:tr>
        <w:trPr>
          <w:cantSplit/>
          <w:tblHeader/>
        </w:trPr>
        <w:tc>
          <w:tcPr>
            <w:tcW w:type="dxa" w:w="2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Bien o servicio</w:t>
            </w:r>
          </w:p>
        </w:tc>
        <w:tc>
          <w:tcPr>
            <w:tcW w:type="dxa" w:w="1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Hogares</w:t>
            </w:r>
          </w:p>
        </w:tc>
        <w:tc>
          <w:tcPr>
            <w:tcW w:type="dxa" w:w="1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penetración</w:t>
            </w:r>
          </w:p>
        </w:tc>
        <w:tc>
          <w:tcPr>
            <w:tcW w:type="dxa" w:w="1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Decil</w:t>
            </w:r>
          </w:p>
        </w:tc>
        <w:tc>
          <w:tcPr>
            <w:tcW w:type="dxa" w:w="21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2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Energía eléctrica</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953,947</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99.2%</w:t>
            </w:r>
          </w:p>
        </w:tc>
        <w:tc>
          <w:tcPr>
            <w:tcW w:type="dxa" w:w="1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Energía eléctrica, agua entubada y drenaje</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897,330</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93.3%</w:t>
            </w:r>
          </w:p>
        </w:tc>
        <w:tc>
          <w:tcPr>
            <w:tcW w:type="dxa" w:w="1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2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Refrigerador</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854,505</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88.9%</w:t>
            </w:r>
          </w:p>
        </w:tc>
        <w:tc>
          <w:tcPr>
            <w:tcW w:type="dxa" w:w="1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Televisor</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893,702</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92.9%</w:t>
            </w:r>
          </w:p>
        </w:tc>
        <w:tc>
          <w:tcPr>
            <w:tcW w:type="dxa" w:w="1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Teléfono celular</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827,553</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86.1%</w:t>
            </w:r>
          </w:p>
        </w:tc>
        <w:tc>
          <w:tcPr>
            <w:tcW w:type="dxa" w:w="1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Internet en casa</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395,680</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41.1%</w:t>
            </w:r>
          </w:p>
        </w:tc>
        <w:tc>
          <w:tcPr>
            <w:tcW w:type="dxa" w:w="1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Automóvil o camioneta</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453,933</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47.2%</w:t>
            </w:r>
          </w:p>
        </w:tc>
        <w:tc>
          <w:tcPr>
            <w:tcW w:type="dxa" w:w="1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Computadora, laptop o tableta</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281,105</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29.2%</w:t>
            </w:r>
          </w:p>
        </w:tc>
        <w:tc>
          <w:tcPr>
            <w:tcW w:type="dxa" w:w="1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Televisión de paga</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429,772</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44.7%</w:t>
            </w:r>
          </w:p>
        </w:tc>
        <w:tc>
          <w:tcPr>
            <w:tcW w:type="dxa" w:w="1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2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Motocicleta o motoneta</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159,774</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16.6%</w:t>
            </w:r>
          </w:p>
        </w:tc>
        <w:tc>
          <w:tcPr>
            <w:tcW w:type="dxa" w:w="1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bl>
    <w:p>
      <w:pPr>
        <w:spacing w:after="160" w:before="60"/>
        <w:jc w:val="both"/>
      </w:pPr>
      <w:r>
        <w:rPr>
          <w:rFonts w:ascii="Arial" w:cs="Arial" w:eastAsia="Arial" w:hAnsi="Arial"/>
          <w:i/>
          <w:iCs/>
          <w:color w:val="555555"/>
          <w:sz w:val="17"/>
          <w:szCs w:val="17"/>
        </w:rPr>
        <w:t xml:space="preserve">El decil indica la posición del área frente al resto de los municipios del país: 1 es el más bajo y 10 el más alto.</w:t>
      </w:r>
    </w:p>
    <w:p>
      <w:pPr>
        <w:spacing w:after="160"/>
        <w:jc w:val="both"/>
      </w:pPr>
      <w:r>
        <w:rPr>
          <w:rFonts w:ascii="Arial" w:cs="Arial" w:eastAsia="Arial" w:hAnsi="Arial"/>
          <w:b w:val="false"/>
          <w:bCs w:val="false"/>
          <w:i w:val="false"/>
          <w:iCs w:val="false"/>
          <w:color w:val="404040"/>
          <w:sz w:val="22"/>
          <w:szCs w:val="22"/>
        </w:rPr>
        <w:t xml:space="preserve">El parque de bienes del hogar confirma una zona donde la motocicleta pesa más que en el resto del país: 16.6% de los hogares tiene motocicleta o motoneta, con calificación muy alto, frente a 47.2% que tiene automóvil o camioneta, calificación regular. El acceso a agua entubada de la red pública es la brecha más marcada: solo 72.4% de los hogares la tiene, calificación muy bajo, muy por debajo de drenaje (95.2%) o de los tres servicios básicos juntos (93.3%). Cualquier negocio intensivo en agua debe verificar el suministro antes de comprometerse.</w:t>
      </w:r>
    </w:p>
    <w:p>
      <w:pPr>
        <w:keepNext/>
        <w:keepLines/>
        <w:spacing w:after="120" w:before="200"/>
      </w:pPr>
      <w:r>
        <w:rPr>
          <w:rFonts w:ascii="Arial" w:cs="Arial" w:eastAsia="Arial" w:hAnsi="Arial"/>
          <w:b/>
          <w:bCs/>
          <w:color w:val="2E75B6"/>
          <w:sz w:val="26"/>
          <w:szCs w:val="26"/>
        </w:rPr>
        <w:t xml:space="preserve">Insights socioeconómicos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BOLSILLO MEDIO ES MÁS GRANDE DE LO QUE PARECE</w:t>
            </w:r>
          </w:p>
          <w:p>
            <w:pPr>
              <w:jc w:val="both"/>
            </w:pPr>
            <w:r>
              <w:rPr>
                <w:rFonts w:ascii="Arial" w:cs="Arial" w:eastAsia="Arial" w:hAnsi="Arial"/>
                <w:color w:val="333333"/>
                <w:sz w:val="19"/>
                <w:szCs w:val="19"/>
              </w:rPr>
              <w:t xml:space="preserve">El bloque C y C– suma 1,014,863 personas con calificación alta frente al promedio nacional. No es el NSE dominante del área, pero en volumen supera a la población de muchas capitales estatales: es la base real de un formato de precio medio.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LA MOTOCICLETA ES CANAL DE ACCESO, NO SOLO EL AUTO</w:t>
            </w:r>
          </w:p>
          <w:p>
            <w:pPr>
              <w:jc w:val="both"/>
            </w:pPr>
            <w:r>
              <w:rPr>
                <w:rFonts w:ascii="Arial" w:cs="Arial" w:eastAsia="Arial" w:hAnsi="Arial"/>
                <w:color w:val="333333"/>
                <w:sz w:val="19"/>
                <w:szCs w:val="19"/>
              </w:rPr>
              <w:t xml:space="preserve">16.6% de los hogares tiene motocicleta con calificación muy alto, frente a 47.2% con automóvil. Un negocio que solo diseña su acceso para autos deja fuera a una porción de clientes mayor que en el resto del país.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AGUA ES EL SERVICIO QUE FALTA, NO LA ELECTRICIDAD</w:t>
            </w:r>
          </w:p>
          <w:p>
            <w:pPr>
              <w:jc w:val="both"/>
            </w:pPr>
            <w:r>
              <w:rPr>
                <w:rFonts w:ascii="Arial" w:cs="Arial" w:eastAsia="Arial" w:hAnsi="Arial"/>
                <w:color w:val="333333"/>
                <w:sz w:val="19"/>
                <w:szCs w:val="19"/>
              </w:rPr>
              <w:t xml:space="preserve">72.4% de los hogares tiene agua entubada de la red pública (calificación muy bajo) frente a 99.2% con electricidad. Cualquier giro intensivo en agua debe verificar suministro antes de firmar la renta.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POBLACIÓN JOVEN-ADULTA, DEMANDA DE FORMACIÓN DE HOGAR</w:t>
            </w:r>
          </w:p>
          <w:p>
            <w:pPr>
              <w:jc w:val="both"/>
            </w:pPr>
            <w:r>
              <w:rPr>
                <w:rFonts w:ascii="Arial" w:cs="Arial" w:eastAsia="Arial" w:hAnsi="Arial"/>
                <w:color w:val="333333"/>
                <w:sz w:val="19"/>
                <w:szCs w:val="19"/>
              </w:rPr>
              <w:t xml:space="preserve">Los grupos de 20 a 39 años suman 1,075,998 personas, todos con calificación alta frente al promedio nacional. Es demanda de formación de hogar: mueblería, electrodomésticos, crédito al consumo y guardería tienen aquí una base estructural.</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05</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UN NICHO ABC+ PEQUEÑO PERO REAL</w:t>
            </w:r>
          </w:p>
          <w:p>
            <w:pPr>
              <w:jc w:val="both"/>
            </w:pPr>
            <w:r>
              <w:rPr>
                <w:rFonts w:ascii="Arial" w:cs="Arial" w:eastAsia="Arial" w:hAnsi="Arial"/>
                <w:color w:val="333333"/>
                <w:sz w:val="19"/>
                <w:szCs w:val="19"/>
              </w:rPr>
              <w:t xml:space="preserve">El NSE ABC+ suma solo 49,733 personas (1.4%), pero con calificación muy alto frente al promedio nacional. No sostiene un negocio de destino por sí solo, pero sí justifica una línea premium dentro de un formato de precio medio.</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Ahora que conocemos a los residentes, necesitamos entender a quienes trabajan aquí — porque los empleados de la región son también consumidores diarios que alimentan la demanda comercial.</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03  ·  PERFIL ECONÓMICO: EMPLEO Y UNIDADES ECONÓMICAS</w:t>
      </w:r>
    </w:p>
    <w:p>
      <w:pPr>
        <w:keepNext/>
        <w:spacing w:after="200" w:before="60"/>
      </w:pPr>
      <w:r>
        <w:rPr>
          <w:rFonts w:ascii="Arial" w:cs="Arial" w:eastAsia="Arial" w:hAnsi="Arial"/>
          <w:i/>
          <w:iCs/>
          <w:color w:val="555555"/>
          <w:sz w:val="21"/>
          <w:szCs w:val="21"/>
        </w:rPr>
        <w:t xml:space="preserve">¿Cuántos empleados hay en esta región y qué tan formal es el ecosistema de negocios?</w:t>
      </w:r>
    </w:p>
    <w:p>
      <w:pPr>
        <w:spacing w:after="160"/>
        <w:jc w:val="both"/>
      </w:pPr>
      <w:r>
        <w:rPr>
          <w:rFonts w:ascii="Arial" w:cs="Arial" w:eastAsia="Arial" w:hAnsi="Arial"/>
          <w:b w:val="false"/>
          <w:bCs w:val="false"/>
          <w:i w:val="false"/>
          <w:iCs w:val="false"/>
          <w:color w:val="404040"/>
          <w:sz w:val="22"/>
          <w:szCs w:val="22"/>
        </w:rPr>
        <w:t xml:space="preserve">El perfil económico revela la estructura productiva formal de la región. Los empleos determinan el poder adquisitivo de quienes trabajan aquí; las unidades económicas muestran el nivel de formalización del ecosistema empresarial local.</w:t>
      </w:r>
    </w:p>
    <w:p>
      <w:pPr>
        <w:keepNext/>
        <w:keepLines/>
        <w:spacing w:after="120" w:before="200"/>
      </w:pPr>
      <w:r>
        <w:rPr>
          <w:rFonts w:ascii="Arial" w:cs="Arial" w:eastAsia="Arial" w:hAnsi="Arial"/>
          <w:b/>
          <w:bCs/>
          <w:color w:val="2E75B6"/>
          <w:sz w:val="26"/>
          <w:szCs w:val="26"/>
        </w:rPr>
        <w:t xml:space="preserve">Distribución de empleos por sector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900"/>
        <w:gridCol w:w="1800"/>
        <w:gridCol w:w="2260"/>
      </w:tblGrid>
      <w:tr>
        <w:trPr>
          <w:cantSplit/>
          <w:tblHeader/>
        </w:trPr>
        <w:tc>
          <w:tcPr>
            <w:tcW w:type="dxa" w:w="34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Sector</w:t>
            </w:r>
          </w:p>
        </w:tc>
        <w:tc>
          <w:tcPr>
            <w:tcW w:type="dxa" w:w="1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Empleos</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22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 vs. promedio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Agricultura, minería, pesca y ganadería</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10,021</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Industria y energía</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137,241</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13.8%</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Comercio</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387,083</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38.9%</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Servicios</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452,957</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45.5%</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Tecnologías y comunicación</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8,052</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0.8%</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995,354</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100.0%</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Distribución de empleos por NSE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900"/>
        <w:gridCol w:w="1800"/>
        <w:gridCol w:w="2260"/>
      </w:tblGrid>
      <w:tr>
        <w:trPr>
          <w:cantSplit/>
          <w:tblHeader/>
        </w:trPr>
        <w:tc>
          <w:tcPr>
            <w:tcW w:type="dxa" w:w="34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NSE de los empleados</w:t>
            </w:r>
          </w:p>
        </w:tc>
        <w:tc>
          <w:tcPr>
            <w:tcW w:type="dxa" w:w="1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Empleos estimados</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22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Empleos de NSE ABC+</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155,084</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15.6%</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Empleos de NSE C y C-</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523,144</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52.6%</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Empleos de NSE D, E y NA</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317,126</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31.9%</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995,354</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Índice de Actividad Comercial (IDC)</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0D2F55" w:val="clear"/>
            <w:tcMar>
              <w:top w:type="dxa" w:w="120"/>
              <w:left w:type="dxa" w:w="200"/>
              <w:bottom w:type="dxa" w:w="120"/>
              <w:right w:type="dxa" w:w="200"/>
            </w:tcMar>
          </w:tcPr>
          <w:p>
            <w:pPr>
              <w:jc w:val="center"/>
            </w:pPr>
            <w:r>
              <w:rPr>
                <w:rFonts w:ascii="Arial" w:cs="Arial" w:eastAsia="Arial" w:hAnsi="Arial"/>
                <w:b/>
                <w:bCs/>
                <w:i w:val="false"/>
                <w:iCs w:val="false"/>
                <w:color w:val="FFFFFF"/>
                <w:sz w:val="20"/>
                <w:szCs w:val="20"/>
              </w:rPr>
              <w:t xml:space="preserve">Índice de Actividad Comercial: 495,499  │  IDC/Empleos: Muy alto  │  IDC/Población: Regular</w:t>
            </w:r>
          </w:p>
        </w:tc>
      </w:tr>
    </w:tbl>
    <w:p>
      <w:pPr>
        <w:spacing w:after="40"/>
      </w:pPr>
      <w:r>
        <w:rPr>
          <w:sz w:val="8"/>
          <w:szCs w:val="8"/>
        </w:rPr>
        <w:t xml:space="preserve"/>
      </w:r>
    </w:p>
    <w:p>
      <w:pPr>
        <w:spacing w:after="160"/>
        <w:jc w:val="both"/>
      </w:pPr>
      <w:r>
        <w:rPr>
          <w:rFonts w:ascii="Arial" w:cs="Arial" w:eastAsia="Arial" w:hAnsi="Arial"/>
          <w:b w:val="false"/>
          <w:bCs w:val="false"/>
          <w:i w:val="false"/>
          <w:iCs w:val="false"/>
          <w:color w:val="404040"/>
          <w:sz w:val="22"/>
          <w:szCs w:val="22"/>
        </w:rPr>
        <w:t xml:space="preserve">El IDC no se evalúa en términos absolutos ni se compara entre regiones de distinto tamaño: se lee con los dos indicadores relativos que publica la fuente. El IDC representa un nivel Muy alto del empleo total (49.8%) y un nivel Regular de la población (13.8%).</w:t>
      </w:r>
    </w:p>
    <w:p>
      <w:pPr>
        <w:spacing w:after="160"/>
        <w:jc w:val="both"/>
      </w:pPr>
      <w:r>
        <w:rPr>
          <w:rFonts w:ascii="Arial" w:cs="Arial" w:eastAsia="Arial" w:hAnsi="Arial"/>
          <w:b w:val="false"/>
          <w:bCs w:val="false"/>
          <w:i w:val="false"/>
          <w:iCs w:val="false"/>
          <w:color w:val="404040"/>
          <w:sz w:val="22"/>
          <w:szCs w:val="22"/>
        </w:rPr>
        <w:t xml:space="preserve">Los dos indicadores del IDC apuntan en direcciones distintas y por eso conviene leerlos juntos. Frente al empleo, la actividad comercial es muy alta: 49.8% de los empleos del área están vinculados a giros que generan tráfico de compradores. Frente a la población, es regular (13.8%): en un área de 3,584,675 habitantes y 78 municipios, ese patrón es el esperado a esta escala, no una señal de debilidad. La lectura es la misma que en cualquier radio grande: hay núcleos comerciales con tráfico intenso rodeados de municipios con menos oferta formal.</w:t>
      </w:r>
    </w:p>
    <w:p>
      <w:pPr>
        <w:keepNext/>
        <w:keepLines/>
        <w:spacing w:after="120" w:before="200"/>
      </w:pPr>
      <w:r>
        <w:rPr>
          <w:rFonts w:ascii="Arial" w:cs="Arial" w:eastAsia="Arial" w:hAnsi="Arial"/>
          <w:b/>
          <w:bCs/>
          <w:color w:val="2E75B6"/>
          <w:sz w:val="26"/>
          <w:szCs w:val="26"/>
        </w:rPr>
        <w:t xml:space="preserve">Unidades económicas por sector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900"/>
        <w:gridCol w:w="1800"/>
        <w:gridCol w:w="2260"/>
      </w:tblGrid>
      <w:tr>
        <w:trPr>
          <w:cantSplit/>
          <w:tblHeader/>
        </w:trPr>
        <w:tc>
          <w:tcPr>
            <w:tcW w:type="dxa" w:w="34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Sector</w:t>
            </w:r>
          </w:p>
        </w:tc>
        <w:tc>
          <w:tcPr>
            <w:tcW w:type="dxa" w:w="1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Unidades económicas</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22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Agricultura, minería, pesca y ganadería</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689</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0.3%</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Industria y energía</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27,416</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13.1%</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Comercio</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102,725</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49.2%</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Servicios</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77,106</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36.9%</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Tecnologías y comunicación</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1,013</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0.5%</w:t>
            </w:r>
          </w:p>
        </w:tc>
        <w:tc>
          <w:tcPr>
            <w:tcW w:type="dxa" w:w="22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208,949</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100.0%</w:t>
            </w:r>
          </w:p>
        </w:tc>
        <w:tc>
          <w:tcPr>
            <w:tcW w:type="dxa" w:w="22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Unidades económicas por tamaño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200"/>
        <w:gridCol w:w="1400"/>
        <w:gridCol w:w="1300"/>
        <w:gridCol w:w="1600"/>
        <w:gridCol w:w="2860"/>
      </w:tblGrid>
      <w:tr>
        <w:trPr>
          <w:cantSplit/>
          <w:tblHeader/>
        </w:trPr>
        <w:tc>
          <w:tcPr>
            <w:tcW w:type="dxa" w:w="2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Tamaño</w:t>
            </w:r>
          </w:p>
        </w:tc>
        <w:tc>
          <w:tcPr>
            <w:tcW w:type="dxa" w:w="14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Cantidad</w:t>
            </w:r>
          </w:p>
        </w:tc>
        <w:tc>
          <w:tcPr>
            <w:tcW w:type="dxa" w:w="13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1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c>
          <w:tcPr>
            <w:tcW w:type="dxa" w:w="28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representativo</w:t>
            </w:r>
          </w:p>
        </w:tc>
      </w:tr>
      <w:tr>
        <w:trPr>
          <w:cantSplit/>
        </w:trPr>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Micro (1 a 5 empleados)</w:t>
            </w:r>
          </w:p>
        </w:tc>
        <w:tc>
          <w:tcPr>
            <w:tcW w:type="dxa" w:w="1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190,661</w:t>
            </w:r>
          </w:p>
        </w:tc>
        <w:tc>
          <w:tcPr>
            <w:tcW w:type="dxa" w:w="13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91.2%</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c>
          <w:tcPr>
            <w:tcW w:type="dxa" w:w="2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Tiendas de barrio, fondas, talleres</w:t>
            </w:r>
          </w:p>
        </w:tc>
      </w:tr>
      <w:tr>
        <w:trPr>
          <w:cantSplit/>
        </w:trPr>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Pequeña (6 a 25)</w:t>
            </w:r>
          </w:p>
        </w:tc>
        <w:tc>
          <w:tcPr>
            <w:tcW w:type="dxa" w:w="1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15,877</w:t>
            </w:r>
          </w:p>
        </w:tc>
        <w:tc>
          <w:tcPr>
            <w:tcW w:type="dxa" w:w="13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7.6%</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c>
          <w:tcPr>
            <w:tcW w:type="dxa" w:w="2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Restaurantes, farmacias, escuelas</w:t>
            </w:r>
          </w:p>
        </w:tc>
      </w:tr>
      <w:tr>
        <w:trPr>
          <w:cantSplit/>
        </w:trPr>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Mediana (26 a 100)</w:t>
            </w:r>
          </w:p>
        </w:tc>
        <w:tc>
          <w:tcPr>
            <w:tcW w:type="dxa" w:w="1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1,835</w:t>
            </w:r>
          </w:p>
        </w:tc>
        <w:tc>
          <w:tcPr>
            <w:tcW w:type="dxa" w:w="13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0.9%</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c>
          <w:tcPr>
            <w:tcW w:type="dxa" w:w="2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Cadenas regionales, clínicas</w:t>
            </w:r>
          </w:p>
        </w:tc>
      </w:tr>
      <w:tr>
        <w:trPr>
          <w:cantSplit/>
        </w:trPr>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Grande (más de 100)</w:t>
            </w:r>
          </w:p>
        </w:tc>
        <w:tc>
          <w:tcPr>
            <w:tcW w:type="dxa" w:w="1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576</w:t>
            </w:r>
          </w:p>
        </w:tc>
        <w:tc>
          <w:tcPr>
            <w:tcW w:type="dxa" w:w="13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0.3%</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c>
          <w:tcPr>
            <w:tcW w:type="dxa" w:w="28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Hospitales, cadenas nacionales</w:t>
            </w:r>
          </w:p>
        </w:tc>
      </w:tr>
      <w:tr>
        <w:trPr>
          <w:cantSplit/>
        </w:trPr>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w:t>
            </w:r>
          </w:p>
        </w:tc>
        <w:tc>
          <w:tcPr>
            <w:tcW w:type="dxa" w:w="1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208,949</w:t>
            </w:r>
          </w:p>
        </w:tc>
        <w:tc>
          <w:tcPr>
            <w:tcW w:type="dxa" w:w="13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100.0%</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28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Insights económicos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ES UNA ECONOMÍA DE SERVICIOS Y COMERCIO, NO DE CAMPO</w:t>
            </w:r>
          </w:p>
          <w:p>
            <w:pPr>
              <w:jc w:val="both"/>
            </w:pPr>
            <w:r>
              <w:rPr>
                <w:rFonts w:ascii="Arial" w:cs="Arial" w:eastAsia="Arial" w:hAnsi="Arial"/>
                <w:color w:val="333333"/>
                <w:sz w:val="19"/>
                <w:szCs w:val="19"/>
              </w:rPr>
              <w:t xml:space="preserve">El sector servicios ocupa 45.5% del empleo y el comercio 38.9%; el sector primario apenas 1.0%. El campo produce el valor de exportación pero emplea poco: la demanda cotidiana la mueven empleados de comercio y servicios.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EMPLEO PRIMARIO ES MUY ALTO PARA EL PAÍS, AUNQUE PAREZCA PEQUEÑO</w:t>
            </w:r>
          </w:p>
          <w:p>
            <w:pPr>
              <w:jc w:val="both"/>
            </w:pPr>
            <w:r>
              <w:rPr>
                <w:rFonts w:ascii="Arial" w:cs="Arial" w:eastAsia="Arial" w:hAnsi="Arial"/>
                <w:color w:val="333333"/>
                <w:sz w:val="19"/>
                <w:szCs w:val="19"/>
              </w:rPr>
              <w:t xml:space="preserve">Aunque solo represente 1.0% del empleo local, esa proporción tiene calificación alta frente al promedio nacional. El agro pesa aquí más que en la mayoría del país, aun con una base de empleo formal pequeña.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COMPETENCIA INFORMAL, VENTAJA FORMAL</w:t>
            </w:r>
          </w:p>
          <w:p>
            <w:pPr>
              <w:jc w:val="both"/>
            </w:pPr>
            <w:r>
              <w:rPr>
                <w:rFonts w:ascii="Arial" w:cs="Arial" w:eastAsia="Arial" w:hAnsi="Arial"/>
                <w:color w:val="333333"/>
                <w:sz w:val="19"/>
                <w:szCs w:val="19"/>
              </w:rPr>
              <w:t xml:space="preserve">91.2% de las unidades económicas son micronegocios de 1 a 5 empleados. Un negocio formal con procesos, factura y garantía compite contra changarros: la diferenciación por servicio es viable desde el día uno.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MASA CRÍTICA DE CLIENTES-TRABAJADORES</w:t>
            </w:r>
          </w:p>
          <w:p>
            <w:pPr>
              <w:jc w:val="both"/>
            </w:pPr>
            <w:r>
              <w:rPr>
                <w:rFonts w:ascii="Arial" w:cs="Arial" w:eastAsia="Arial" w:hAnsi="Arial"/>
                <w:color w:val="333333"/>
                <w:sz w:val="19"/>
                <w:szCs w:val="19"/>
              </w:rPr>
              <w:t xml:space="preserve">995,354 empleos formales en el área significan una comida fuera de casa, un café y un traslado diarios para una base amplia de trabajadores. Los formatos de paso en corredores de empleo tienen flujo garantizado de lunes a viernes.</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Residentes más empleados son el mercado real de la región. Ahora veamos qué grandes marcas ya operan aquí — para entender quién lidera el mercado formal y qué espacios quedan abiertos.</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04  ·  ACTIVIDAD COMERCIAL Y PRESENCIA DE MARCAS</w:t>
      </w:r>
    </w:p>
    <w:p>
      <w:pPr>
        <w:keepNext/>
        <w:spacing w:after="200" w:before="60"/>
      </w:pPr>
      <w:r>
        <w:rPr>
          <w:rFonts w:ascii="Arial" w:cs="Arial" w:eastAsia="Arial" w:hAnsi="Arial"/>
          <w:i/>
          <w:iCs/>
          <w:color w:val="555555"/>
          <w:sz w:val="21"/>
          <w:szCs w:val="21"/>
        </w:rPr>
        <w:t xml:space="preserve">¿Qué grandes marcas ya operan en la región, cuántas sucursales tienen y a cuánta población atiende cada una?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0D2F55" w:val="clear"/>
            <w:tcMar>
              <w:top w:type="dxa" w:w="120"/>
              <w:left w:type="dxa" w:w="200"/>
              <w:bottom w:type="dxa" w:w="120"/>
              <w:right w:type="dxa" w:w="200"/>
            </w:tcMar>
          </w:tcPr>
          <w:p>
            <w:pPr>
              <w:jc w:val="center"/>
            </w:pPr>
            <w:r>
              <w:rPr>
                <w:rFonts w:ascii="Arial" w:cs="Arial" w:eastAsia="Arial" w:hAnsi="Arial"/>
                <w:b/>
                <w:bCs/>
                <w:i w:val="false"/>
                <w:iCs w:val="false"/>
                <w:color w:val="FFFFFF"/>
                <w:sz w:val="20"/>
                <w:szCs w:val="20"/>
              </w:rPr>
              <w:t xml:space="preserve">Índice de Actividad Comercial: 495,499  │  IDC/Empleos: Muy alto  │  IDC/Población: Regular</w:t>
            </w:r>
          </w:p>
        </w:tc>
      </w:tr>
    </w:tbl>
    <w:p>
      <w:pPr>
        <w:spacing w:after="40"/>
      </w:pPr>
      <w:r>
        <w:rPr>
          <w:sz w:val="8"/>
          <w:szCs w:val="8"/>
        </w:rPr>
        <w:t xml:space="preserve"/>
      </w:r>
    </w:p>
    <w:p>
      <w:pPr>
        <w:spacing w:after="160" w:before="60"/>
        <w:jc w:val="both"/>
      </w:pPr>
      <w:r>
        <w:rPr>
          <w:rFonts w:ascii="Arial" w:cs="Arial" w:eastAsia="Arial" w:hAnsi="Arial"/>
          <w:i/>
          <w:iCs/>
          <w:color w:val="555555"/>
          <w:sz w:val="17"/>
          <w:szCs w:val="17"/>
        </w:rPr>
        <w:t xml:space="preserve">Los datos de esta sección se calculan como el agregado de los municipios que componen el área analizada. Las comparaciones de decil contra municipios individuales del país pueden subestimar la competitividad real de la zona.</w:t>
      </w:r>
    </w:p>
    <w:p>
      <w:pPr>
        <w:spacing w:after="160"/>
        <w:jc w:val="both"/>
      </w:pPr>
      <w:r>
        <w:rPr>
          <w:rFonts w:ascii="Arial" w:cs="Arial" w:eastAsia="Arial" w:hAnsi="Arial"/>
          <w:b w:val="false"/>
          <w:bCs w:val="false"/>
          <w:i w:val="false"/>
          <w:iCs w:val="false"/>
          <w:color w:val="404040"/>
          <w:sz w:val="22"/>
          <w:szCs w:val="22"/>
        </w:rPr>
        <w:t xml:space="preserve">El Reporte de Presencia y Cobertura de Marcas identifica las cadenas con presencia en el área y las mide en tres dimensiones distintas que conviene no confundir. La primera es la cobertura geográfica: en cuántos de los 78 municipios del área está presente la marca. La segunda es la densidad física: cuántas sucursales tiene realmente. La tercera es la carga poblacional: a cuánta población atiende en promedio cada sucursal.</w:t>
      </w:r>
    </w:p>
    <w:p>
      <w:pPr>
        <w:keepNext/>
        <w:keepLines/>
        <w:spacing w:after="120" w:before="200"/>
      </w:pPr>
      <w:r>
        <w:rPr>
          <w:rFonts w:ascii="Arial" w:cs="Arial" w:eastAsia="Arial" w:hAnsi="Arial"/>
          <w:b/>
          <w:bCs/>
          <w:color w:val="2E75B6"/>
          <w:sz w:val="26"/>
          <w:szCs w:val="26"/>
        </w:rPr>
        <w:t xml:space="preserve">Presencia de marcas comerciales en la región</w:t>
      </w:r>
    </w:p>
    <w:p>
      <w:pPr>
        <w:keepNext/>
        <w:keepLines/>
        <w:spacing w:after="80" w:before="160"/>
      </w:pPr>
      <w:r>
        <w:rPr>
          <w:rFonts w:ascii="Arial" w:cs="Arial" w:eastAsia="Arial" w:hAnsi="Arial"/>
          <w:b/>
          <w:bCs/>
          <w:color w:val="1B4F8A"/>
          <w:sz w:val="22"/>
          <w:szCs w:val="22"/>
        </w:rPr>
        <w:t xml:space="preserve">Sector: Cafeterías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Black Coffee</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Café Europa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325,880</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Café La Cabaña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Caffeto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Diletto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Italian Coffee</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597,446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Punta del Cielo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Cafetería de cadena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Starbucks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275,744</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Cafetería de cadena</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39</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91,915</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Cafeterías</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39</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91,915</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Comercio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Bodega Aurrera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149,361</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Bodega Aurrera Express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137,872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Chedraui</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Costco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Mi Bodega Aurrera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199,149</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Sams Club</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Soriana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162,940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Waldos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224,042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Supermercados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Walmart</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179,234</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Supermercados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138</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25,976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Circle K</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Del Río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Extra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162,940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Kiosko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512,096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Modelorama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286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74.4%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Alto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12,534</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Neto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Oxxo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564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Regular</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6,356</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Super Six</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3B</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43.6%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Regular</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41,682</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Tiendas de conveniencia</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990</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3,621</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vinos y licores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La Europea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vinos y licores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La Vinata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 vinos y licores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Tecate Six</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20.5%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28,226</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Tiendas de vinos y licores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132</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27,157</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C&amp;A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Coppel</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33.3%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50,488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Liverpool</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Sanborns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Sears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Tiendas departamentales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Suburbia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Tiendas departamentales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96</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37,340</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Comercio</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1,356</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2,644</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Entretenimiento y cultura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Cines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Cinemex</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Cines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Cinepolis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210,863</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Cines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19</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188,667</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Entretenimiento y cultura</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19</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188,667</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Farmacias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Benavides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325,880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Delta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ABC</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Ahuacatlán</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Calderón</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de GI</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50</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del Ahorro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dr Símil</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60</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76.9%</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Alto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11,167</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Guadalajara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29.5%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32,887</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Roma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 Yza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Farmapronto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35.9%</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66,383</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La Paz</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398,297</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Medisim</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Cadena F. Nacional</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646</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5,549</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Farmacias</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646</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5,549</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Restaurantes y bares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Alitas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Las Alitas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Alitas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Vancouver Wings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Alitas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Wings Army</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Alitas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597,446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Applebees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Bisquets de Obregón</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Chilis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Dennys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El Portón</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597,446</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Ihop</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María Bonita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398,297</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Subway</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275,744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Toks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Vips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597,446</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Cadenas otras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47</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76,270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Hamburguesas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Burger King</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Hamburguesas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Carls Junior</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Hamburguesas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Cuarto de Kilo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Hamburguesas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McDonalds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Hamburguesas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Pizzas e italiana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Dominos Pizza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132,766</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Pizzas e italiana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Ginos Pizza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Pizzas e italiana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Little Caesars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398,297</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Pizzas e italiana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Pizza Hut</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Pizzas e italiana</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41</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87,431</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Pollos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El Pollo Feliz</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40</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89,617</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Pollos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KFC</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398,297</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Pollos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49</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73,157</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Restaurantes y bares</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151</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23,740</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Ropa y calzado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Aldo Conti</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Andre Badi</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Aura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Benetton</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Bershka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Cuidado con el perro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Forever 21</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Julio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Lacoste</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Levis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597,446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Liz Minelli</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LOB</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Massimo Dutti</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Milano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210,863</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Scappino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Sfera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Stop</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Studio F</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Todo Moda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238,978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Tommy Hilfiger</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Vittorio Forti</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Zara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Ropa de marca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Zoe</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Ropa de marca</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75</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47,796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 de lencería</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Ilusion</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325,880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Tienda de lencería</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Vicky Form</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Tienda de lencería</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275,744</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Ropa y calzado</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88</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40,735</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Servicios comerciales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Any Time Fitness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Be Fit</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1,194,892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Evolution</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512,096</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Family Fitness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Fitness center</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33.3%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39,830</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Master Gym</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Power Gym</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1,792,338</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SmartFit</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448,084</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Gimnasios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Ultragym</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Gimnasios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119</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30,123</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Servicios comerciales</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119</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30,123</w:t>
            </w:r>
          </w:p>
        </w:tc>
      </w:tr>
    </w:tbl>
    <w:p>
      <w:pPr>
        <w:spacing w:after="40"/>
      </w:pPr>
      <w:r>
        <w:rPr>
          <w:sz w:val="8"/>
          <w:szCs w:val="8"/>
        </w:rPr>
        <w:t xml:space="preserve"/>
      </w:r>
    </w:p>
    <w:p>
      <w:pPr>
        <w:keepNext/>
        <w:keepLines/>
        <w:spacing w:after="80" w:before="160"/>
      </w:pPr>
      <w:r>
        <w:rPr>
          <w:rFonts w:ascii="Arial" w:cs="Arial" w:eastAsia="Arial" w:hAnsi="Arial"/>
          <w:b/>
          <w:bCs/>
          <w:color w:val="1B4F8A"/>
          <w:sz w:val="22"/>
          <w:szCs w:val="22"/>
        </w:rPr>
        <w:t xml:space="preserve">Sector: Servicios financieros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Actinver</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Banca Afirme</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137,872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Banca Mifel</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 ABC</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 Azteca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Regular</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34,803</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 Compartamos</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14.1%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238,978</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 del Bajio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43</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83,365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 Famsa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896,169</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Bancoppel</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28.2%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71,694</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Bankaool</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3,584,675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Banregio</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 Banco</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512,096</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Citibanamex</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139</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38.5%</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25,789</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HSBC</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69</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51,952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Inbursa</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149,361</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Multiva</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716,935</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Otros bancos</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512,096</w:t>
            </w:r>
          </w:p>
        </w:tc>
      </w:tr>
      <w:tr>
        <w:trPr>
          <w:cantSplit/>
        </w:trPr>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Santander</w:t>
            </w:r>
          </w:p>
        </w:tc>
        <w:tc>
          <w:tcPr>
            <w:tcW w:type="dxa" w:w="10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86</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18</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23.1%</w:t>
            </w:r>
          </w:p>
        </w:tc>
        <w:tc>
          <w:tcPr>
            <w:tcW w:type="dxa" w:w="12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Bajo</w:t>
            </w:r>
          </w:p>
        </w:tc>
        <w:tc>
          <w:tcPr>
            <w:tcW w:type="dxa" w:w="16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41,682</w:t>
            </w:r>
          </w:p>
        </w:tc>
      </w:tr>
      <w:tr>
        <w:trPr>
          <w:cantSplit/>
        </w:trPr>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Scotiabank</w:t>
            </w:r>
          </w:p>
        </w:tc>
        <w:tc>
          <w:tcPr>
            <w:tcW w:type="dxa" w:w="10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20</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7.7%</w:t>
            </w:r>
          </w:p>
        </w:tc>
        <w:tc>
          <w:tcPr>
            <w:tcW w:type="dxa" w:w="12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Muy bajo</w:t>
            </w:r>
          </w:p>
        </w:tc>
        <w:tc>
          <w:tcPr>
            <w:tcW w:type="dxa" w:w="16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179,234</w:t>
            </w:r>
          </w:p>
        </w:tc>
      </w:tr>
      <w:tr>
        <w:trPr>
          <w:cantSplit/>
        </w:trPr>
        <w:tc>
          <w:tcPr>
            <w:tcW w:type="dxa" w:w="15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Bancos</w:t>
            </w:r>
          </w:p>
        </w:tc>
        <w:tc>
          <w:tcPr>
            <w:tcW w:type="dxa" w:w="16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607</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D5E8F0"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5,906</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Servicios financieros</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607</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5,906</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500"/>
        <w:gridCol w:w="1600"/>
        <w:gridCol w:w="1000"/>
        <w:gridCol w:w="1200"/>
        <w:gridCol w:w="1200"/>
        <w:gridCol w:w="1200"/>
        <w:gridCol w:w="1660"/>
      </w:tblGrid>
      <w:tr>
        <w:trPr>
          <w:cantSplit/>
          <w:tblHeader/>
        </w:trPr>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Giro</w:t>
            </w:r>
          </w:p>
        </w:tc>
        <w:tc>
          <w:tcPr>
            <w:tcW w:type="dxa" w:w="16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Marca</w:t>
            </w:r>
          </w:p>
        </w:tc>
        <w:tc>
          <w:tcPr>
            <w:tcW w:type="dxa" w:w="10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Sucursales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Municipios</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Cobertura %</w:t>
            </w:r>
          </w:p>
        </w:tc>
        <w:tc>
          <w:tcPr>
            <w:tcW w:type="dxa" w:w="12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Análisis</w:t>
            </w:r>
          </w:p>
        </w:tc>
        <w:tc>
          <w:tcPr>
            <w:tcW w:type="dxa" w:w="16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Hab. por sucursal</w:t>
            </w:r>
          </w:p>
        </w:tc>
      </w:tr>
      <w:tr>
        <w:trPr>
          <w:cantSplit/>
        </w:trPr>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 GENERAL</w:t>
            </w:r>
          </w:p>
        </w:tc>
        <w:tc>
          <w:tcPr>
            <w:tcW w:type="dxa" w:w="16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w:t>
            </w:r>
          </w:p>
        </w:tc>
        <w:tc>
          <w:tcPr>
            <w:tcW w:type="dxa" w:w="10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3,025</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2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w:t>
            </w:r>
          </w:p>
        </w:tc>
        <w:tc>
          <w:tcPr>
            <w:tcW w:type="dxa" w:w="16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1,185</w:t>
            </w:r>
          </w:p>
        </w:tc>
      </w:tr>
    </w:tbl>
    <w:p>
      <w:pPr>
        <w:spacing w:after="160" w:before="60"/>
        <w:jc w:val="both"/>
      </w:pPr>
      <w:r>
        <w:rPr>
          <w:rFonts w:ascii="Arial" w:cs="Arial" w:eastAsia="Arial" w:hAnsi="Arial"/>
          <w:i/>
          <w:iCs/>
          <w:color w:val="555555"/>
          <w:sz w:val="17"/>
          <w:szCs w:val="17"/>
        </w:rPr>
        <w:t xml:space="preserve">En las filas de total, la columna Municipios del archivo es una suma aritmética que puede superar los 78 municipios del área; por eso no se muestra: no representa municipios únicos con presencia. Las columnas Sucursales y Hab. por sucursal sí son válidas y miden la densidad comercial del grupo completo. La cobertura y el análisis no aplican a agregados.</w:t>
      </w:r>
    </w:p>
    <w:p>
      <w:pPr>
        <w:keepNext/>
        <w:keepLines/>
        <w:spacing w:after="120" w:before="200"/>
      </w:pPr>
      <w:r>
        <w:rPr>
          <w:rFonts w:ascii="Arial" w:cs="Arial" w:eastAsia="Arial" w:hAnsi="Arial"/>
          <w:b/>
          <w:bCs/>
          <w:color w:val="2E75B6"/>
          <w:sz w:val="26"/>
          <w:szCs w:val="26"/>
        </w:rPr>
        <w:t xml:space="preserve">Resumen: densidad comercial por giro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600"/>
        <w:gridCol w:w="2200"/>
        <w:gridCol w:w="2160"/>
      </w:tblGrid>
      <w:tr>
        <w:trPr>
          <w:cantSplit/>
          <w:tblHeader/>
        </w:trPr>
        <w:tc>
          <w:tcPr>
            <w:tcW w:type="dxa" w:w="34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Giro</w:t>
            </w:r>
          </w:p>
        </w:tc>
        <w:tc>
          <w:tcPr>
            <w:tcW w:type="dxa" w:w="1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Sucursales</w:t>
            </w:r>
          </w:p>
        </w:tc>
        <w:tc>
          <w:tcPr>
            <w:tcW w:type="dxa" w:w="2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Hab. por sucursal</w:t>
            </w:r>
          </w:p>
        </w:tc>
        <w:tc>
          <w:tcPr>
            <w:tcW w:type="dxa" w:w="21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Lectura</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Tiendas de conveniencia</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990</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3,621</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Saturado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Cadena F. Nacional</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646</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5,549</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Saturado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Bancos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607</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5,906</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Saturado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Supermercados</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138</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25,976</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Saturado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Tiendas de vinos y licores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132</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27,157</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Saturado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Gimnasios</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119</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30,123</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Tiendas departamentales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96</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37,340</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Ropa de marca</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75</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47,796</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Pollos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49</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73,157</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Cadenas otras</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76,270</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Pizzas e italiana</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41</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87,431</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Cubierto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Cafetería de cadena</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39</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91,915</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Desatendido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Cines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19</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188,667</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Desatendido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Tienda de lencería</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275,744</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Desatendido</w:t>
            </w:r>
          </w:p>
        </w:tc>
      </w:tr>
      <w:tr>
        <w:trPr>
          <w:cantSplit/>
        </w:trPr>
        <w:tc>
          <w:tcPr>
            <w:tcW w:type="dxa" w:w="34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Hamburguesas</w:t>
            </w:r>
          </w:p>
        </w:tc>
        <w:tc>
          <w:tcPr>
            <w:tcW w:type="dxa" w:w="1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448,084</w:t>
            </w:r>
          </w:p>
        </w:tc>
        <w:tc>
          <w:tcPr>
            <w:tcW w:type="dxa" w:w="21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Desatendido</w:t>
            </w:r>
          </w:p>
        </w:tc>
      </w:tr>
      <w:tr>
        <w:trPr>
          <w:cantSplit/>
        </w:trPr>
        <w:tc>
          <w:tcPr>
            <w:tcW w:type="dxa" w:w="34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Alitas</w:t>
            </w:r>
          </w:p>
        </w:tc>
        <w:tc>
          <w:tcPr>
            <w:tcW w:type="dxa" w:w="1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597,446</w:t>
            </w:r>
          </w:p>
        </w:tc>
        <w:tc>
          <w:tcPr>
            <w:tcW w:type="dxa" w:w="21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Desatendido</w:t>
            </w:r>
          </w:p>
        </w:tc>
      </w:tr>
    </w:tbl>
    <w:p>
      <w:pPr>
        <w:spacing w:after="160" w:before="60"/>
        <w:jc w:val="both"/>
      </w:pPr>
      <w:r>
        <w:rPr>
          <w:rFonts w:ascii="Arial" w:cs="Arial" w:eastAsia="Arial" w:hAnsi="Arial"/>
          <w:i/>
          <w:iCs/>
          <w:color w:val="555555"/>
          <w:sz w:val="17"/>
          <w:szCs w:val="17"/>
        </w:rPr>
        <w:t xml:space="preserve">La lectura compara los giros entre sí dentro de esta área, no contra el país: el tercio de giros con menos habitantes por sucursal se marca como saturado y el tercio con más, como desatendido. Es una lectura relativa del mercado formal local.</w:t>
      </w:r>
    </w:p>
    <w:p>
      <w:pPr>
        <w:spacing w:after="160"/>
        <w:jc w:val="both"/>
      </w:pPr>
      <w:r>
        <w:rPr>
          <w:rFonts w:ascii="Arial" w:cs="Arial" w:eastAsia="Arial" w:hAnsi="Arial"/>
          <w:b w:val="false"/>
          <w:bCs w:val="false"/>
          <w:i w:val="false"/>
          <w:iCs w:val="false"/>
          <w:color w:val="404040"/>
          <w:sz w:val="22"/>
          <w:szCs w:val="22"/>
        </w:rPr>
        <w:t xml:space="preserve">Las tres dimensiones del panorama comercial cuentan historias distintas. En cobertura geográfica, ninguna marca llega a los 78 municipios del área: incluso las de mayor alcance, F. dr Símil y Modelorama, cubren 76.9% y 74.4% de los municipios respectivamente, y son la excepción, no la regla. En densidad física, el área tiene 3,025 sucursales formales de 127 marcas, una por cada 1,185 habitantes: es un mercado formal maduro, no virgen. En carga poblacional por sucursal, el contraste es amplio: Tiendas de conveniencia tiene una sucursal por cada 3,621 habitantes, el giro más saturado, mientras Alitas tiene una por cada 597,446, el más desatendido. El mercado formal está saturado en consumo básico diario y casi vacío en ocio y especialidad.</w:t>
      </w:r>
    </w:p>
    <w:p>
      <w:pPr>
        <w:keepNext/>
        <w:keepLines/>
        <w:spacing w:after="120" w:before="200"/>
      </w:pPr>
      <w:r>
        <w:rPr>
          <w:rFonts w:ascii="Arial" w:cs="Arial" w:eastAsia="Arial" w:hAnsi="Arial"/>
          <w:b/>
          <w:bCs/>
          <w:color w:val="2E75B6"/>
          <w:sz w:val="26"/>
          <w:szCs w:val="26"/>
        </w:rPr>
        <w:t xml:space="preserve">Insights de presencia comercial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CONSUMO BÁSICO DIARIO DOMINA</w:t>
            </w:r>
          </w:p>
          <w:p>
            <w:pPr>
              <w:jc w:val="both"/>
            </w:pPr>
            <w:r>
              <w:rPr>
                <w:rFonts w:ascii="Arial" w:cs="Arial" w:eastAsia="Arial" w:hAnsi="Arial"/>
                <w:color w:val="333333"/>
                <w:sz w:val="19"/>
                <w:szCs w:val="19"/>
              </w:rPr>
              <w:t xml:space="preserve">Tiendas de conveniencia (990 sucursales, 3,621 hab/sucursal) y Cadena F. Nacional en Farmacias (646 sucursales, 5,549 hab/sucursal) encabezan la densidad del mercado formal. Competir ahí exige una escala logística que un operador independiente no iguala fácilmente.</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LA COBERTURA REGIONAL REAL ES DE UNA SOLA CIUDAD</w:t>
            </w:r>
          </w:p>
          <w:p>
            <w:pPr>
              <w:jc w:val="both"/>
            </w:pPr>
            <w:r>
              <w:rPr>
                <w:rFonts w:ascii="Arial" w:cs="Arial" w:eastAsia="Arial" w:hAnsi="Arial"/>
                <w:color w:val="333333"/>
                <w:sz w:val="19"/>
                <w:szCs w:val="19"/>
              </w:rPr>
              <w:t xml:space="preserve">McDonald's, Burger King, Applebee's, IHOP y Dennys aparecen cada uno en solo 1 de los 78 municipios del área (1.3% de cobertura), con 1 o 2 sucursales. Estos formatos reconocidos prácticamente no han salido del núcleo urbano principal.</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SECTOR MÁS DENSO Y EL MÁS ESCASO</w:t>
            </w:r>
          </w:p>
          <w:p>
            <w:pPr>
              <w:jc w:val="both"/>
            </w:pPr>
            <w:r>
              <w:rPr>
                <w:rFonts w:ascii="Arial" w:cs="Arial" w:eastAsia="Arial" w:hAnsi="Arial"/>
                <w:color w:val="333333"/>
                <w:sz w:val="19"/>
                <w:szCs w:val="19"/>
              </w:rPr>
              <w:t xml:space="preserve">El sector Comercio tiene 2,644 habitantes por sucursal, el más denso del área; Entretenimiento y cultura tiene 188,667, el más escaso. La brecha entre lo saturado y lo vacío es de 71 veces.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OCIO FORMAL ESTÁ AUSENTE</w:t>
            </w:r>
          </w:p>
          <w:p>
            <w:pPr>
              <w:jc w:val="both"/>
            </w:pPr>
            <w:r>
              <w:rPr>
                <w:rFonts w:ascii="Arial" w:cs="Arial" w:eastAsia="Arial" w:hAnsi="Arial"/>
                <w:color w:val="333333"/>
                <w:sz w:val="19"/>
                <w:szCs w:val="19"/>
              </w:rPr>
              <w:t xml:space="preserve">Con una sucursal de Alitas por cada 597,446 habitantes y solo 6 sucursales en 5 de los 78 municipios, el entretenimiento y la restauración de especialidad son la brecha más clara del mercado formal.</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05</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GIRO MÁS DESATENDIDO EN PROPORCIÓN</w:t>
            </w:r>
          </w:p>
          <w:p>
            <w:pPr>
              <w:jc w:val="both"/>
            </w:pPr>
            <w:r>
              <w:rPr>
                <w:rFonts w:ascii="Arial" w:cs="Arial" w:eastAsia="Arial" w:hAnsi="Arial"/>
                <w:color w:val="333333"/>
                <w:sz w:val="19"/>
                <w:szCs w:val="19"/>
              </w:rPr>
              <w:t xml:space="preserve">Alitas registra una sucursal por cada 597,446 habitantes frente a las 3,621 de Tiendas de conveniencia: una diferencia de casi 165 veces. El formato de destino especializado es el segmento formal más desatendido del área.</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mapa de marcas y actividad comercial claro, entramos al corazón productivo de la región — los datos agropecuarios que revelan la vocación económica del campo y qué cadenas de valor genera.</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05  ·  PERFIL PRODUCTIVO: GANADERÍA Y AGRICULTURA</w:t>
      </w:r>
    </w:p>
    <w:p>
      <w:pPr>
        <w:keepNext/>
        <w:spacing w:after="200" w:before="60"/>
      </w:pPr>
      <w:r>
        <w:rPr>
          <w:rFonts w:ascii="Arial" w:cs="Arial" w:eastAsia="Arial" w:hAnsi="Arial"/>
          <w:i/>
          <w:iCs/>
          <w:color w:val="555555"/>
          <w:sz w:val="21"/>
          <w:szCs w:val="21"/>
        </w:rPr>
        <w:t xml:space="preserve">¿Cuál es el potencial productivo del campo en esta región y qué oportunidades de negocio genera?</w:t>
      </w:r>
    </w:p>
    <w:p>
      <w:pPr>
        <w:spacing w:after="160" w:before="60"/>
        <w:jc w:val="both"/>
      </w:pPr>
      <w:r>
        <w:rPr>
          <w:rFonts w:ascii="Arial" w:cs="Arial" w:eastAsia="Arial" w:hAnsi="Arial"/>
          <w:i/>
          <w:iCs/>
          <w:color w:val="555555"/>
          <w:sz w:val="17"/>
          <w:szCs w:val="17"/>
        </w:rPr>
        <w:t xml:space="preserve">Los datos de esta sección se calculan como el agregado de los municipios que componen el área analizada. Las comparaciones de decil contra municipios individuales del país pueden subestimar la competitividad real de la zona.</w:t>
      </w:r>
    </w:p>
    <w:p>
      <w:pPr>
        <w:keepNext/>
        <w:keepLines/>
        <w:spacing w:after="120" w:before="200"/>
      </w:pPr>
      <w:r>
        <w:rPr>
          <w:rFonts w:ascii="Arial" w:cs="Arial" w:eastAsia="Arial" w:hAnsi="Arial"/>
          <w:b/>
          <w:bCs/>
          <w:color w:val="2E75B6"/>
          <w:sz w:val="26"/>
          <w:szCs w:val="26"/>
        </w:rPr>
        <w:t xml:space="preserve">5A · Censo Ganadero 2023</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360"/>
        <w:gridCol w:w="2500"/>
        <w:gridCol w:w="2500"/>
      </w:tblGrid>
      <w:tr>
        <w:trPr>
          <w:cantSplit/>
          <w:tblHeader/>
        </w:trPr>
        <w:tc>
          <w:tcPr>
            <w:tcW w:type="dxa" w:w="43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Estadístico</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Producción anual</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Existencias totales</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Total de unidades productoras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51,211</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542,913</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Cabezas en libre pastoreo</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11,924</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202,321</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Cabezas en pastoreo controlado</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4,569</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82,352</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Cabezas estabuladas</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6,538</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93,451</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Cabezas semiestabuladas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3,455</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86,145</w:t>
            </w:r>
          </w:p>
        </w:tc>
      </w:tr>
    </w:tbl>
    <w:p>
      <w:pPr>
        <w:spacing w:after="160"/>
        <w:jc w:val="both"/>
      </w:pPr>
      <w:r>
        <w:rPr>
          <w:rFonts w:ascii="Arial" w:cs="Arial" w:eastAsia="Arial" w:hAnsi="Arial"/>
          <w:b w:val="false"/>
          <w:bCs w:val="false"/>
          <w:i w:val="false"/>
          <w:iCs w:val="false"/>
          <w:color w:val="404040"/>
          <w:sz w:val="22"/>
          <w:szCs w:val="22"/>
        </w:rPr>
        <w:t xml:space="preserve">La ganadería del área combina dos modelos, no uno solo. De las cabezas con sistema identificado, 202,321 están en libre pastoreo, 82,352 en pastoreo controlado y 179,596 en establos (93,451 estabuladas y 86,145 semiestabuladas). Es un sistema mixto: la porción en libre pastoreo demanda cercado, sanidad de hato y transporte de ganado en pie; la porción estabulada y semiestabulada demanda alimento balanceado y manejo técnico. El total de unidades ganaderas del área registra una producción de 51,211 y existencias de 542,913.</w:t>
      </w:r>
    </w:p>
    <w:p>
      <w:pPr>
        <w:keepNext/>
        <w:keepLines/>
        <w:spacing w:after="120" w:before="200"/>
      </w:pPr>
      <w:r>
        <w:rPr>
          <w:rFonts w:ascii="Arial" w:cs="Arial" w:eastAsia="Arial" w:hAnsi="Arial"/>
          <w:b/>
          <w:bCs/>
          <w:color w:val="2E75B6"/>
          <w:sz w:val="26"/>
          <w:szCs w:val="26"/>
        </w:rPr>
        <w:t xml:space="preserve">5B · Censo Agrícola 2023</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1900"/>
        <w:gridCol w:w="1400"/>
        <w:gridCol w:w="1500"/>
        <w:gridCol w:w="2400"/>
        <w:gridCol w:w="800"/>
        <w:gridCol w:w="1360"/>
      </w:tblGrid>
      <w:tr>
        <w:trPr>
          <w:cantSplit/>
          <w:tblHeader/>
        </w:trPr>
        <w:tc>
          <w:tcPr>
            <w:tcW w:type="dxa" w:w="19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Cultivo</w:t>
            </w:r>
          </w:p>
        </w:tc>
        <w:tc>
          <w:tcPr>
            <w:tcW w:type="dxa" w:w="14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Superficie (ha)</w:t>
            </w:r>
          </w:p>
        </w:tc>
        <w:tc>
          <w:tcPr>
            <w:tcW w:type="dxa" w:w="15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Volumen (ton)</w:t>
            </w:r>
          </w:p>
        </w:tc>
        <w:tc>
          <w:tcPr>
            <w:tcW w:type="dxa" w:w="24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Valor económico (MXN)</w:t>
            </w:r>
          </w:p>
        </w:tc>
        <w:tc>
          <w:tcPr>
            <w:tcW w:type="dxa" w:w="80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Decil</w:t>
            </w:r>
          </w:p>
        </w:tc>
        <w:tc>
          <w:tcPr>
            <w:tcW w:type="dxa" w:w="1360"/>
            <w:tcBorders>
              <w:top w:val="single" w:color="FFFFFF" w:sz="2"/>
              <w:left w:val="single" w:color="FFFFFF" w:sz="2"/>
              <w:bottom w:val="single" w:color="FFFFFF" w:sz="2"/>
              <w:right w:val="single" w:color="FFFFFF" w:sz="2"/>
            </w:tcBorders>
            <w:shd w:fill="2E75B6" w:val="clear"/>
            <w:tcMar>
              <w:top w:type="dxa" w:w="70"/>
              <w:left w:type="dxa" w:w="90"/>
              <w:bottom w:type="dxa" w:w="70"/>
              <w:right w:type="dxa" w:w="90"/>
            </w:tcMar>
            <w:vAlign w:val="center"/>
          </w:tcPr>
          <w:p>
            <w:pPr>
              <w:jc w:val="center"/>
            </w:pPr>
            <w:r>
              <w:rPr>
                <w:rFonts w:ascii="Arial" w:cs="Arial" w:eastAsia="Arial" w:hAnsi="Arial"/>
                <w:b/>
                <w:bCs/>
                <w:i w:val="false"/>
                <w:iCs w:val="false"/>
                <w:color w:val="FFFFFF"/>
                <w:sz w:val="16"/>
                <w:szCs w:val="16"/>
              </w:rPr>
              <w:t xml:space="preserve">Relativo Nacional</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Agave</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1,014</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76,684</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$873,577,638</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4.3%</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Aguacate</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82,268</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914,137</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$19,268,618,742</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37.4%</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Alfalfa verde</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10,638</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826,192</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$631,513,626</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Avena forrajera en verde</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24,295</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313,388</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$266,842,265</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3.1%</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Caña de azúcar</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7,200</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538,917</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$452,710,154</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0.98%</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Cebolla</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1,438</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36,514</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$222,993,382</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2.5%</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Chile verde</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493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7,054</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$80,124,776</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0.29%</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Fresa</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3,270</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117,355</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$2,026,574,570</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21.6%</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Limón</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248</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2,392</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$16,581,810</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0.08%</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Maíz grano</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393,305</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1,919,986</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$10,370,465,278</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7.0%</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Mango</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3,323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24,249</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$154,871,196</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Papa</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275</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7,447</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$56,160,349</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0.38%</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Papaya</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186</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6,255</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$41,668,493</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0.55%</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Pepino</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1,771</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65,462</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$404,988,813</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6.3%</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Plátano</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64</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1,050</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$5,633,080</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0.04%</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Sorgo grano</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82,943</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446,198</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$2,406,655,321</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10.2%</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Tomate rojo (jitomate)</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2,243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75,769</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$714,348,409</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2.3%</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Trigo grano</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48,544</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306,366</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$1,719,963,909</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9.3%</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Espárrago</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1,335</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12,876</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$520,718,323</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Uva</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$308,908</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&lt;0.01%</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Chile seco</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105</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103</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$3,822,840</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7</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0.08%</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Frijol</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9,390</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12,281</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$170,719,736</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0.95%</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Manzana</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1,161</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$5,855,187</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0.18%</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Naranja</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39</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346</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$1,554,635</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5</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&lt;0.01%</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Otros granos</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42,620</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219,885</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$1,279,592,208</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3.1%</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Otras frutas</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16,291</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219,876</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$1,305,426,785</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4.8%</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Otras moras</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2,523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42,700</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$850,442,794</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11.3%</w:t>
            </w:r>
          </w:p>
        </w:tc>
      </w:tr>
      <w:tr>
        <w:trPr>
          <w:cantSplit/>
        </w:trPr>
        <w:tc>
          <w:tcPr>
            <w:tcW w:type="dxa" w:w="19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Otras flores</w:t>
            </w:r>
          </w:p>
        </w:tc>
        <w:tc>
          <w:tcPr>
            <w:tcW w:type="dxa" w:w="1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62</w:t>
            </w:r>
          </w:p>
        </w:tc>
        <w:tc>
          <w:tcPr>
            <w:tcW w:type="dxa" w:w="15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1,048,252</w:t>
            </w:r>
          </w:p>
        </w:tc>
        <w:tc>
          <w:tcPr>
            <w:tcW w:type="dxa" w:w="24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$35,802,866</w:t>
            </w:r>
          </w:p>
        </w:tc>
        <w:tc>
          <w:tcPr>
            <w:tcW w:type="dxa" w:w="80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5F8FC"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2.7%</w:t>
            </w:r>
          </w:p>
        </w:tc>
      </w:tr>
      <w:tr>
        <w:trPr>
          <w:cantSplit/>
        </w:trPr>
        <w:tc>
          <w:tcPr>
            <w:tcW w:type="dxa" w:w="19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left"/>
            </w:pPr>
            <w:r>
              <w:rPr>
                <w:rFonts w:ascii="Arial" w:cs="Arial" w:eastAsia="Arial" w:hAnsi="Arial"/>
                <w:b w:val="false"/>
                <w:bCs w:val="false"/>
                <w:i w:val="false"/>
                <w:iCs w:val="false"/>
                <w:color w:val="404040"/>
                <w:sz w:val="16"/>
                <w:szCs w:val="16"/>
              </w:rPr>
              <w:t xml:space="preserve">Otros diversos</w:t>
            </w:r>
          </w:p>
        </w:tc>
        <w:tc>
          <w:tcPr>
            <w:tcW w:type="dxa" w:w="1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11,423</w:t>
            </w:r>
          </w:p>
        </w:tc>
        <w:tc>
          <w:tcPr>
            <w:tcW w:type="dxa" w:w="15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315,863</w:t>
            </w:r>
          </w:p>
        </w:tc>
        <w:tc>
          <w:tcPr>
            <w:tcW w:type="dxa" w:w="24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$1,149,617,043</w:t>
            </w:r>
          </w:p>
        </w:tc>
        <w:tc>
          <w:tcPr>
            <w:tcW w:type="dxa" w:w="80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FFFFFF" w:val="clear"/>
            <w:tcMar>
              <w:top w:type="dxa" w:w="70"/>
              <w:left w:type="dxa" w:w="90"/>
              <w:bottom w:type="dxa" w:w="70"/>
              <w:right w:type="dxa" w:w="90"/>
            </w:tcMar>
            <w:vAlign w:val="center"/>
          </w:tcPr>
          <w:p>
            <w:pPr>
              <w:jc w:val="center"/>
            </w:pPr>
            <w:r>
              <w:rPr>
                <w:rFonts w:ascii="Arial" w:cs="Arial" w:eastAsia="Arial" w:hAnsi="Arial"/>
                <w:b w:val="false"/>
                <w:bCs w:val="false"/>
                <w:i w:val="false"/>
                <w:iCs w:val="false"/>
                <w:color w:val="404040"/>
                <w:sz w:val="16"/>
                <w:szCs w:val="16"/>
              </w:rPr>
              <w:t xml:space="preserve">2.5%</w:t>
            </w:r>
          </w:p>
        </w:tc>
      </w:tr>
      <w:tr>
        <w:trPr>
          <w:cantSplit/>
        </w:trPr>
        <w:tc>
          <w:tcPr>
            <w:tcW w:type="dxa" w:w="19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left"/>
            </w:pPr>
            <w:r>
              <w:rPr>
                <w:rFonts w:ascii="Arial" w:cs="Arial" w:eastAsia="Arial" w:hAnsi="Arial"/>
                <w:b/>
                <w:bCs/>
                <w:i w:val="false"/>
                <w:iCs w:val="false"/>
                <w:color w:val="404040"/>
                <w:sz w:val="16"/>
                <w:szCs w:val="16"/>
              </w:rPr>
              <w:t xml:space="preserve">Total</w:t>
            </w:r>
          </w:p>
        </w:tc>
        <w:tc>
          <w:tcPr>
            <w:tcW w:type="dxa" w:w="14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747,458</w:t>
            </w:r>
          </w:p>
        </w:tc>
        <w:tc>
          <w:tcPr>
            <w:tcW w:type="dxa" w:w="15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7,558,745</w:t>
            </w:r>
          </w:p>
        </w:tc>
        <w:tc>
          <w:tcPr>
            <w:tcW w:type="dxa" w:w="24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$45,038,153,131</w:t>
            </w:r>
          </w:p>
        </w:tc>
        <w:tc>
          <w:tcPr>
            <w:tcW w:type="dxa" w:w="80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10</w:t>
            </w:r>
          </w:p>
        </w:tc>
        <w:tc>
          <w:tcPr>
            <w:tcW w:type="dxa" w:w="1360"/>
            <w:tcBorders>
              <w:top w:val="single" w:color="FFFFFF" w:sz="2"/>
              <w:left w:val="single" w:color="FFFFFF" w:sz="2"/>
              <w:bottom w:val="single" w:color="FFFFFF" w:sz="2"/>
              <w:right w:val="single" w:color="FFFFFF" w:sz="2"/>
            </w:tcBorders>
            <w:shd w:fill="C7DDEA" w:val="clear"/>
            <w:tcMar>
              <w:top w:type="dxa" w:w="70"/>
              <w:left w:type="dxa" w:w="90"/>
              <w:bottom w:type="dxa" w:w="70"/>
              <w:right w:type="dxa" w:w="90"/>
            </w:tcMar>
            <w:vAlign w:val="center"/>
          </w:tcPr>
          <w:p>
            <w:pPr>
              <w:jc w:val="center"/>
            </w:pPr>
            <w:r>
              <w:rPr>
                <w:rFonts w:ascii="Arial" w:cs="Arial" w:eastAsia="Arial" w:hAnsi="Arial"/>
                <w:b/>
                <w:bCs/>
                <w:i w:val="false"/>
                <w:iCs w:val="false"/>
                <w:color w:val="404040"/>
                <w:sz w:val="16"/>
                <w:szCs w:val="16"/>
              </w:rPr>
              <w:t xml:space="preserve">3.2%</w:t>
            </w:r>
          </w:p>
        </w:tc>
      </w:tr>
    </w:tbl>
    <w:p>
      <w:pPr>
        <w:spacing w:after="160" w:before="60"/>
        <w:jc w:val="both"/>
      </w:pPr>
      <w:r>
        <w:rPr>
          <w:rFonts w:ascii="Arial" w:cs="Arial" w:eastAsia="Arial" w:hAnsi="Arial"/>
          <w:i/>
          <w:iCs/>
          <w:color w:val="555555"/>
          <w:sz w:val="17"/>
          <w:szCs w:val="17"/>
        </w:rPr>
        <w:t xml:space="preserve">Se muestran los 29 cultivos con producción real en el área, en el orden del catálogo de la fuente; los cultivos que no se producen aquí se omiten. El Relativo Nacional es el porcentaje que representa el volumen del área respecto al total de la producción nacional de ese mismo cultivo. En la fila de total representa el peso del volumen agrícola completo del área frente al volumen agrícola nacional de todos los cultivos.</w:t>
      </w:r>
    </w:p>
    <w:p>
      <w:pPr>
        <w:spacing w:after="160" w:before="60"/>
        <w:jc w:val="both"/>
      </w:pPr>
      <w:r>
        <w:rPr>
          <w:rFonts w:ascii="Arial" w:cs="Arial" w:eastAsia="Arial" w:hAnsi="Arial"/>
          <w:i/>
          <w:iCs/>
          <w:color w:val="555555"/>
          <w:sz w:val="17"/>
          <w:szCs w:val="17"/>
        </w:rPr>
        <w:t xml:space="preserve">Los cultivos compuestos agregan varias especies de precio y uso distintos: la cadena de valor relevante depende de cuál domine en la región.</w:t>
      </w:r>
    </w:p>
    <w:p>
      <w:pPr>
        <w:spacing w:after="160"/>
        <w:jc w:val="both"/>
      </w:pPr>
      <w:r>
        <w:rPr>
          <w:rFonts w:ascii="Arial" w:cs="Arial" w:eastAsia="Arial" w:hAnsi="Arial"/>
          <w:b w:val="false"/>
          <w:bCs w:val="false"/>
          <w:i w:val="false"/>
          <w:iCs w:val="false"/>
          <w:color w:val="404040"/>
          <w:sz w:val="22"/>
          <w:szCs w:val="22"/>
        </w:rPr>
        <w:t xml:space="preserve">Aquí está el motor del área. El aguacate concentra 37.4% del volumen nacional (decil 10, $19,268.6 millones de pesos), lo que convierte a la región en el mayor productor del país en ese cultivo. La fresa suma 21.6% (decil 10, $2,026.6 millones de pesos), y sorgo grano (10.2%), trigo grano (9.3%) y maíz grano (7.0%, con el mayor volumen del área: 1,919,986 toneladas) completan el grupo de cultivos en decil 10. El volumen agrícola total del área equivale a 3.2% del volumen agrícola nacional de todos los cultivos juntos. Con solo 1.0% del empleo local en el sector primario, el área produce a escala nacional con una estructura de empleo que ya es mayoritariamente urbana.</w:t>
      </w:r>
    </w:p>
    <w:p>
      <w:pPr>
        <w:keepNext/>
        <w:keepLines/>
        <w:spacing w:after="120" w:before="200"/>
      </w:pPr>
      <w:r>
        <w:rPr>
          <w:rFonts w:ascii="Arial" w:cs="Arial" w:eastAsia="Arial" w:hAnsi="Arial"/>
          <w:b/>
          <w:bCs/>
          <w:color w:val="2E75B6"/>
          <w:sz w:val="26"/>
          <w:szCs w:val="26"/>
        </w:rPr>
        <w:t xml:space="preserve">Insights agropecuarios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MAYOR PRODUCTOR DE AGUACATE DEL PAÍS</w:t>
            </w:r>
          </w:p>
          <w:p>
            <w:pPr>
              <w:jc w:val="both"/>
            </w:pPr>
            <w:r>
              <w:rPr>
                <w:rFonts w:ascii="Arial" w:cs="Arial" w:eastAsia="Arial" w:hAnsi="Arial"/>
                <w:color w:val="333333"/>
                <w:sz w:val="19"/>
                <w:szCs w:val="19"/>
              </w:rPr>
              <w:t xml:space="preserve">37.4% del volumen nacional de aguacate, en decil 10 y con un valor de $19,268.6 millones de pesos. Cualquier negocio de empaque, cadena de frío o exportación tiene aquí demanda estructural, no especulativa.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MAÍZ ES EL VOLUMEN, EL AGUACATE ES EL VALOR</w:t>
            </w:r>
          </w:p>
          <w:p>
            <w:pPr>
              <w:jc w:val="both"/>
            </w:pPr>
            <w:r>
              <w:rPr>
                <w:rFonts w:ascii="Arial" w:cs="Arial" w:eastAsia="Arial" w:hAnsi="Arial"/>
                <w:color w:val="333333"/>
                <w:sz w:val="19"/>
                <w:szCs w:val="19"/>
              </w:rPr>
              <w:t xml:space="preserve">1,919,986 toneladas de maíz grano (7.0% nacional) mueven acopio y transporte a granel; el aguacate, con menos de la mitad del volumen (914,137 toneladas), genera casi 1.9 veces el valor. Son dos negocios de escala distinta en el mismo territorio.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LA FRESA CONSOLIDA UN SEGUNDO MOTOR DE EXPORTACIÓN</w:t>
            </w:r>
          </w:p>
          <w:p>
            <w:pPr>
              <w:jc w:val="both"/>
            </w:pPr>
            <w:r>
              <w:rPr>
                <w:rFonts w:ascii="Arial" w:cs="Arial" w:eastAsia="Arial" w:hAnsi="Arial"/>
                <w:color w:val="333333"/>
                <w:sz w:val="19"/>
                <w:szCs w:val="19"/>
              </w:rPr>
              <w:t xml:space="preserve">117,355 toneladas de fresa, 21.6% del volumen nacional en decil 10. Junto con el aguacate, define una vocación de fruta perecedera de exportación que exige cadena de frío desde el huerto.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GANADERÍA MIXTA: INSUMOS DE CAMPO Y ALIMENTO TÉCNICO A LA VEZ</w:t>
            </w:r>
          </w:p>
          <w:p>
            <w:pPr>
              <w:jc w:val="both"/>
            </w:pPr>
            <w:r>
              <w:rPr>
                <w:rFonts w:ascii="Arial" w:cs="Arial" w:eastAsia="Arial" w:hAnsi="Arial"/>
                <w:color w:val="333333"/>
                <w:sz w:val="19"/>
                <w:szCs w:val="19"/>
              </w:rPr>
              <w:t xml:space="preserve">202,321 cabezas en libre pastoreo conviven con 179,596 en establos: no es un solo negocio, son dos clientes distintos con necesidades distintas dentro de la misma área.</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perfil productivo del campo claro, analizamos las condiciones del entorno — clima, criminalidad y parque vehicular — que definen los riesgos operativos y las demandas específicas de cualquier negocio en esta región.</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06  ·  CONDICIONES DEL ENTORNO: CLIMA, CRIMEN Y MOVILIDAD</w:t>
      </w:r>
    </w:p>
    <w:p>
      <w:pPr>
        <w:keepNext/>
        <w:spacing w:after="200" w:before="60"/>
      </w:pPr>
      <w:r>
        <w:rPr>
          <w:rFonts w:ascii="Arial" w:cs="Arial" w:eastAsia="Arial" w:hAnsi="Arial"/>
          <w:i/>
          <w:iCs/>
          <w:color w:val="555555"/>
          <w:sz w:val="21"/>
          <w:szCs w:val="21"/>
        </w:rPr>
        <w:t xml:space="preserve">¿Qué tan favorable es el entorno externo para operar un negocio en esta región?</w:t>
      </w:r>
    </w:p>
    <w:p>
      <w:pPr>
        <w:keepNext/>
        <w:keepLines/>
        <w:spacing w:after="120" w:before="200"/>
      </w:pPr>
      <w:r>
        <w:rPr>
          <w:rFonts w:ascii="Arial" w:cs="Arial" w:eastAsia="Arial" w:hAnsi="Arial"/>
          <w:b/>
          <w:bCs/>
          <w:color w:val="2E75B6"/>
          <w:sz w:val="26"/>
          <w:szCs w:val="26"/>
        </w:rPr>
        <w:t xml:space="preserve">6A · Datos del clima (SMN, septiembre 2023 a agosto 2024)</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600"/>
        <w:gridCol w:w="1800"/>
        <w:gridCol w:w="1200"/>
        <w:gridCol w:w="2760"/>
      </w:tblGrid>
      <w:tr>
        <w:trPr>
          <w:cantSplit/>
          <w:tblHeader/>
        </w:trPr>
        <w:tc>
          <w:tcPr>
            <w:tcW w:type="dxa" w:w="3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Estadístico climático</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Media</w:t>
            </w:r>
          </w:p>
        </w:tc>
        <w:tc>
          <w:tcPr>
            <w:tcW w:type="dxa" w:w="1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Decil</w:t>
            </w:r>
          </w:p>
        </w:tc>
        <w:tc>
          <w:tcPr>
            <w:tcW w:type="dxa" w:w="2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Temperatura media anual (°C)</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19.97</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 de temperatura mínima (°C)</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11.81</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Temperatura mínima general (°C)</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7.03</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mínima ≤15 °C</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8.04</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mínima ≤8 °C</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3.57</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 de temperatura máxima (°C)</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28.29</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Temperatura máxima general (°C)</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34.41</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máxima ≥30 °C</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3.69</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máxima ≥35 °C</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1.56</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lluvia moderada (&gt;50 ml/m²)</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Meses con lluvia extrema (&gt;150 ml/m²)</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1.81</w:t>
            </w:r>
          </w:p>
        </w:tc>
        <w:tc>
          <w:tcPr>
            <w:tcW w:type="dxa" w:w="1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 de lluvia por mes (ml/m²)</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65.67</w:t>
            </w:r>
          </w:p>
        </w:tc>
        <w:tc>
          <w:tcPr>
            <w:tcW w:type="dxa" w:w="1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bl>
    <w:p>
      <w:pPr>
        <w:spacing w:after="160" w:before="60"/>
        <w:jc w:val="both"/>
      </w:pPr>
      <w:r>
        <w:rPr>
          <w:rFonts w:ascii="Arial" w:cs="Arial" w:eastAsia="Arial" w:hAnsi="Arial"/>
          <w:i/>
          <w:iCs/>
          <w:color w:val="555555"/>
          <w:sz w:val="17"/>
          <w:szCs w:val="17"/>
        </w:rPr>
        <w:t xml:space="preserve">El área incluye 78 municipios: los datos climáticos representan el promedio de sus estaciones.</w:t>
      </w:r>
    </w:p>
    <w:p>
      <w:pPr>
        <w:spacing w:after="160"/>
        <w:jc w:val="both"/>
      </w:pPr>
      <w:r>
        <w:rPr>
          <w:rFonts w:ascii="Arial" w:cs="Arial" w:eastAsia="Arial" w:hAnsi="Arial"/>
          <w:b w:val="false"/>
          <w:bCs w:val="false"/>
          <w:i w:val="false"/>
          <w:iCs w:val="false"/>
          <w:color w:val="404040"/>
          <w:sz w:val="22"/>
          <w:szCs w:val="22"/>
        </w:rPr>
        <w:t xml:space="preserve">El área tiene un clima templado de altiplano, no cálido: 20.0°C de media anual con decil 3 (bajo), 8 meses al año con mínimas de 15°C o menos (decil 7, alto) y apenas mes y medio con máximas de 35°C o más (decil 3, bajo). Es un clima que reduce la urgencia de climatización por calor extremo, pero impone su propia demanda: la de espacios cálidos y confortables durante buena parte del año.</w:t>
      </w:r>
    </w:p>
    <w:p>
      <w:pPr>
        <w:keepNext/>
        <w:keepLines/>
        <w:spacing w:after="120" w:before="200"/>
      </w:pPr>
      <w:r>
        <w:rPr>
          <w:rFonts w:ascii="Arial" w:cs="Arial" w:eastAsia="Arial" w:hAnsi="Arial"/>
          <w:b/>
          <w:bCs/>
          <w:color w:val="2E75B6"/>
          <w:sz w:val="26"/>
          <w:szCs w:val="26"/>
        </w:rPr>
        <w:t xml:space="preserve">Insights climáticos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OCHO MESES DE CLIMA FRESCO, NO DE CALOR</w:t>
            </w:r>
          </w:p>
          <w:p>
            <w:pPr>
              <w:jc w:val="both"/>
            </w:pPr>
            <w:r>
              <w:rPr>
                <w:rFonts w:ascii="Arial" w:cs="Arial" w:eastAsia="Arial" w:hAnsi="Arial"/>
                <w:color w:val="333333"/>
                <w:sz w:val="19"/>
                <w:szCs w:val="19"/>
              </w:rPr>
              <w:t xml:space="preserve">Con 8 meses al año de mínimas de 15°C o menos (decil 7, alto), la demanda estructural es de bebida caliente, alimento reconfortante y espacios cerrados o techados, no de bebida fría todo el año.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AIRE ACONDICIONADO NO ES CONDICIÓN DE ENTRADA</w:t>
            </w:r>
          </w:p>
          <w:p>
            <w:pPr>
              <w:jc w:val="both"/>
            </w:pPr>
            <w:r>
              <w:rPr>
                <w:rFonts w:ascii="Arial" w:cs="Arial" w:eastAsia="Arial" w:hAnsi="Arial"/>
                <w:color w:val="333333"/>
                <w:sz w:val="19"/>
                <w:szCs w:val="19"/>
              </w:rPr>
              <w:t xml:space="preserve">Apenas mes y medio con máximas de 35°C o más (decil 3, bajo). A diferencia de zonas cálidas del país, aquí el diferenciador es el confort térmico en temporada fría, no la inversión en climatización industrial.</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TERRAZA CUBIERTA, NO TERRAZA ABIERTA TODO EL AÑO</w:t>
            </w:r>
          </w:p>
          <w:p>
            <w:pPr>
              <w:jc w:val="both"/>
            </w:pPr>
            <w:r>
              <w:rPr>
                <w:rFonts w:ascii="Arial" w:cs="Arial" w:eastAsia="Arial" w:hAnsi="Arial"/>
                <w:color w:val="333333"/>
                <w:sz w:val="19"/>
                <w:szCs w:val="19"/>
              </w:rPr>
              <w:t xml:space="preserve">Con una media de temperatura máxima de 28.3°C (decil 4, bajo) y meses fríos frecuentes, el espacio exterior rinde más si está techado y con alguna fuente de calor que si se deja completamente abierto.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LLUVIA REGULAR, SIN RESTRICCIÓN CLIMÁTICA DE AGUA</w:t>
            </w:r>
          </w:p>
          <w:p>
            <w:pPr>
              <w:jc w:val="both"/>
            </w:pPr>
            <w:r>
              <w:rPr>
                <w:rFonts w:ascii="Arial" w:cs="Arial" w:eastAsia="Arial" w:hAnsi="Arial"/>
                <w:color w:val="333333"/>
                <w:sz w:val="19"/>
                <w:szCs w:val="19"/>
              </w:rPr>
              <w:t xml:space="preserve">65.67 ml/m² de lluvia mensual promedio (decil 5, regular): el clima no es el factor limitante del agua en el área; la brecha de agua está en la infraestructura de hogar (72.4% con agua entubada), no en la lluvia.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05</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MISMO CLIMA QUE LIMITA EL CALOR SOSTIENE EL AGRO ESTRELLA DEL ÁREA</w:t>
            </w:r>
          </w:p>
          <w:p>
            <w:pPr>
              <w:jc w:val="both"/>
            </w:pPr>
            <w:r>
              <w:rPr>
                <w:rFonts w:ascii="Arial" w:cs="Arial" w:eastAsia="Arial" w:hAnsi="Arial"/>
                <w:color w:val="333333"/>
                <w:sz w:val="19"/>
                <w:szCs w:val="19"/>
              </w:rPr>
              <w:t xml:space="preserve">El aguacate y la fresa, los dos cultivos con mayor participación nacional del área, requieren clima templado y no calor extremo. El clima que reduce la demanda de aire acondicionado es el mismo que hace posible el liderazgo agroindustrial.</w:t>
            </w:r>
          </w:p>
        </w:tc>
      </w:tr>
    </w:tbl>
    <w:p>
      <w:pPr>
        <w:keepNext/>
        <w:keepLines/>
        <w:spacing w:after="120" w:before="200"/>
      </w:pPr>
      <w:r>
        <w:rPr>
          <w:rFonts w:ascii="Arial" w:cs="Arial" w:eastAsia="Arial" w:hAnsi="Arial"/>
          <w:b/>
          <w:bCs/>
          <w:color w:val="2E75B6"/>
          <w:sz w:val="26"/>
          <w:szCs w:val="26"/>
        </w:rPr>
        <w:t xml:space="preserve">6B · Criminalidad 2025</w:t>
      </w:r>
    </w:p>
    <w:p>
      <w:pPr>
        <w:spacing w:after="160"/>
        <w:jc w:val="both"/>
      </w:pPr>
      <w:r>
        <w:rPr>
          <w:rFonts w:ascii="Arial" w:cs="Arial" w:eastAsia="Arial" w:hAnsi="Arial"/>
          <w:b w:val="false"/>
          <w:bCs w:val="false"/>
          <w:i/>
          <w:iCs/>
          <w:color w:val="404040"/>
          <w:sz w:val="22"/>
          <w:szCs w:val="22"/>
        </w:rPr>
        <w:t xml:space="preserve">El análisis siguiente se presenta exclusivamente en clave comercial: no es un juicio sobre la comunidad, sino una lectura de los costos operativos que un negocio debe presupuestar en esta región.</w:t>
      </w:r>
    </w:p>
    <w:p>
      <w:pPr>
        <w:keepNext/>
        <w:keepLines/>
        <w:spacing w:after="80" w:before="160"/>
      </w:pPr>
      <w:r>
        <w:rPr>
          <w:rFonts w:ascii="Arial" w:cs="Arial" w:eastAsia="Arial" w:hAnsi="Arial"/>
          <w:b/>
          <w:bCs/>
          <w:color w:val="1B4F8A"/>
          <w:sz w:val="22"/>
          <w:szCs w:val="22"/>
        </w:rPr>
        <w:t xml:space="preserve">Delitos contra personas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760"/>
        <w:gridCol w:w="1500"/>
        <w:gridCol w:w="1500"/>
        <w:gridCol w:w="900"/>
        <w:gridCol w:w="1700"/>
      </w:tblGrid>
      <w:tr>
        <w:trPr>
          <w:cantSplit/>
          <w:tblHeader/>
        </w:trPr>
        <w:tc>
          <w:tcPr>
            <w:tcW w:type="dxa" w:w="3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delito</w:t>
            </w:r>
          </w:p>
        </w:tc>
        <w:tc>
          <w:tcPr>
            <w:tcW w:type="dxa" w:w="1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Total delitos</w:t>
            </w:r>
          </w:p>
        </w:tc>
        <w:tc>
          <w:tcPr>
            <w:tcW w:type="dxa" w:w="1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Índice (tasa)</w:t>
            </w:r>
          </w:p>
        </w:tc>
        <w:tc>
          <w:tcPr>
            <w:tcW w:type="dxa" w:w="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Decil</w:t>
            </w:r>
          </w:p>
        </w:tc>
        <w:tc>
          <w:tcPr>
            <w:tcW w:type="dxa" w:w="1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Lesiones dolosas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6,469</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180.46</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Homicidio doloso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827</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23.07</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Homicidio culposo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939</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26.19</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Violación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476</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13.28</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Abuso sexual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832</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23.21</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Otros delitos contra la integridad personal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4,993</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139.29</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Robo a transeúnte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422</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11.77</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Lesiones culposas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656</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18.3</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Secuestro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45</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1.26</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Bajo</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Feminicidio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0.5</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bl>
    <w:p>
      <w:pPr>
        <w:keepNext/>
        <w:keepLines/>
        <w:spacing w:after="80" w:before="160"/>
      </w:pPr>
      <w:r>
        <w:rPr>
          <w:rFonts w:ascii="Arial" w:cs="Arial" w:eastAsia="Arial" w:hAnsi="Arial"/>
          <w:b/>
          <w:bCs/>
          <w:color w:val="1B4F8A"/>
          <w:sz w:val="22"/>
          <w:szCs w:val="22"/>
        </w:rPr>
        <w:t xml:space="preserve">Delitos contra negocios, viviendas y vehículos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760"/>
        <w:gridCol w:w="1500"/>
        <w:gridCol w:w="1500"/>
        <w:gridCol w:w="900"/>
        <w:gridCol w:w="1700"/>
      </w:tblGrid>
      <w:tr>
        <w:trPr>
          <w:cantSplit/>
          <w:tblHeader/>
        </w:trPr>
        <w:tc>
          <w:tcPr>
            <w:tcW w:type="dxa" w:w="3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delito</w:t>
            </w:r>
          </w:p>
        </w:tc>
        <w:tc>
          <w:tcPr>
            <w:tcW w:type="dxa" w:w="1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Total delitos</w:t>
            </w:r>
          </w:p>
        </w:tc>
        <w:tc>
          <w:tcPr>
            <w:tcW w:type="dxa" w:w="1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Índice (tasa)</w:t>
            </w:r>
          </w:p>
        </w:tc>
        <w:tc>
          <w:tcPr>
            <w:tcW w:type="dxa" w:w="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Decil</w:t>
            </w:r>
          </w:p>
        </w:tc>
        <w:tc>
          <w:tcPr>
            <w:tcW w:type="dxa" w:w="1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Otros robos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11,789</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328.87</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Otros bienes públicos afectados (por 100 mil hab.)</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12,415</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346.34</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Narcomenudeo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2,151</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60.01</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Robo de automotores (por 100 mil automotores)</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3,210</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207.97</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Extorsión (por 100 mil hab.)</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337</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9.4</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Robo a negocio (por mil UE)</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962</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4.6</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Robo a casa habitación (por 10 mil viviendas)</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945</w:t>
            </w:r>
          </w:p>
        </w:tc>
        <w:tc>
          <w:tcPr>
            <w:tcW w:type="dxa" w:w="1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7.18</w:t>
            </w:r>
          </w:p>
        </w:tc>
        <w:tc>
          <w:tcPr>
            <w:tcW w:type="dxa" w:w="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Robo de autopartes (por 100 mil automotores)</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26</w:t>
            </w:r>
          </w:p>
        </w:tc>
        <w:tc>
          <w:tcPr>
            <w:tcW w:type="dxa" w:w="1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1.68</w:t>
            </w:r>
          </w:p>
        </w:tc>
        <w:tc>
          <w:tcPr>
            <w:tcW w:type="dxa" w:w="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bl>
    <w:p>
      <w:pPr>
        <w:spacing w:after="160" w:before="60"/>
        <w:jc w:val="both"/>
      </w:pPr>
      <w:r>
        <w:rPr>
          <w:rFonts w:ascii="Arial" w:cs="Arial" w:eastAsia="Arial" w:hAnsi="Arial"/>
          <w:i/>
          <w:iCs/>
          <w:color w:val="555555"/>
          <w:sz w:val="17"/>
          <w:szCs w:val="17"/>
        </w:rPr>
        <w:t xml:space="preserve">Un total de cero significa que no se documentaron delitos de ese tipo en el período; no es un dato faltante.</w:t>
      </w:r>
    </w:p>
    <w:p>
      <w:pPr>
        <w:spacing w:after="160"/>
        <w:jc w:val="both"/>
      </w:pPr>
      <w:r>
        <w:rPr>
          <w:rFonts w:ascii="Arial" w:cs="Arial" w:eastAsia="Arial" w:hAnsi="Arial"/>
          <w:b w:val="false"/>
          <w:bCs w:val="false"/>
          <w:i w:val="false"/>
          <w:iCs w:val="false"/>
          <w:color w:val="404040"/>
          <w:sz w:val="22"/>
          <w:szCs w:val="22"/>
        </w:rPr>
        <w:t xml:space="preserve">La lectura es exclusivamente de costo operativo. Lesiones dolosas (6,469 casos), otros robos (11,789) y otros bienes públicos afectados (12,415) registran los tres decil 9 con calificación muy alto: son el costo de seguridad, iluminación y protocolos que cualquier negocio debe presupuestar desde el primer mes. El narcomenudeo (2,151 casos, decil 8) y el homicidio doloso y culposo (827 y 939 casos, ambos decil 7) afectan sobre todo la decisión de horario: cerrar temprano reduce exposición pero también ventas, y esa decisión debe tomarse con números, no por percepción. El dato que contrasta con todo esto es que el robo a negocio en sí registra apenas decil 5, calificación regular: el riesgo del área no es que asalten el mostrador, es el entorno general en el que opera cualquier comercio.</w:t>
      </w:r>
    </w:p>
    <w:p>
      <w:pPr>
        <w:keepNext/>
        <w:keepLines/>
        <w:spacing w:after="120" w:before="200"/>
      </w:pPr>
      <w:r>
        <w:rPr>
          <w:rFonts w:ascii="Arial" w:cs="Arial" w:eastAsia="Arial" w:hAnsi="Arial"/>
          <w:b/>
          <w:bCs/>
          <w:color w:val="2E75B6"/>
          <w:sz w:val="26"/>
          <w:szCs w:val="26"/>
        </w:rPr>
        <w:t xml:space="preserve">6C · Parque vehicular 2023</w:t>
      </w:r>
    </w:p>
    <w:p>
      <w:pPr>
        <w:keepNext/>
        <w:keepLines/>
        <w:spacing w:after="80" w:before="160"/>
      </w:pPr>
      <w:r>
        <w:rPr>
          <w:rFonts w:ascii="Arial" w:cs="Arial" w:eastAsia="Arial" w:hAnsi="Arial"/>
          <w:b/>
          <w:bCs/>
          <w:color w:val="1B4F8A"/>
          <w:sz w:val="22"/>
          <w:szCs w:val="22"/>
        </w:rPr>
        <w:t xml:space="preserve">Composición del parque vehicular local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360"/>
        <w:gridCol w:w="2500"/>
        <w:gridCol w:w="2500"/>
      </w:tblGrid>
      <w:tr>
        <w:trPr>
          <w:cantSplit/>
          <w:tblHeader/>
        </w:trPr>
        <w:tc>
          <w:tcPr>
            <w:tcW w:type="dxa" w:w="43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vehículo</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Total</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Automóviles de uso oficial</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2,760</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0.2%</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Automóviles de uso público</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14,682</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Automóviles particulares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741,084</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48.0%</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pasajeros de uso oficial</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98</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0.0%</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pasajeros públicos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938</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0.1%</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pasajeros particulares</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5,126</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0.3%</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carga de uso oficial</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4,876</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0.3%</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carga públicos</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6,044</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0.4%</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Camiones de carga particulares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478,515</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31.0%</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Motocicletas de uso oficial</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1,173</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0.1%</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Motocicletas de alquiler</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N/D</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0.0%</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Motocicletas particulares</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288,229</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18.7%</w:t>
            </w:r>
          </w:p>
        </w:tc>
      </w:tr>
    </w:tbl>
    <w:p>
      <w:pPr>
        <w:spacing w:after="160" w:before="60"/>
        <w:jc w:val="both"/>
      </w:pPr>
      <w:r>
        <w:rPr>
          <w:rFonts w:ascii="Arial" w:cs="Arial" w:eastAsia="Arial" w:hAnsi="Arial"/>
          <w:i/>
          <w:iCs/>
          <w:color w:val="555555"/>
          <w:sz w:val="17"/>
          <w:szCs w:val="17"/>
        </w:rPr>
        <w:t xml:space="preserve">Los tipos específicos de vehículos se reportan como datos descriptivos de la composición del parque local: la distribución por tipo no es comparable entre municipios de forma significativa, porque los vehículos circulan en municipios distintos al del domicilio fiscal donde están registrados.</w:t>
      </w:r>
    </w:p>
    <w:p>
      <w:pPr>
        <w:keepNext/>
        <w:keepLines/>
        <w:spacing w:after="80" w:before="160"/>
      </w:pPr>
      <w:r>
        <w:rPr>
          <w:rFonts w:ascii="Arial" w:cs="Arial" w:eastAsia="Arial" w:hAnsi="Arial"/>
          <w:b/>
          <w:bCs/>
          <w:color w:val="1B4F8A"/>
          <w:sz w:val="22"/>
          <w:szCs w:val="22"/>
        </w:rPr>
        <w:t xml:space="preserve">Indicadores de motorización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000"/>
        <w:gridCol w:w="1900"/>
        <w:gridCol w:w="1700"/>
        <w:gridCol w:w="1760"/>
      </w:tblGrid>
      <w:tr>
        <w:trPr>
          <w:cantSplit/>
          <w:tblHeader/>
        </w:trPr>
        <w:tc>
          <w:tcPr>
            <w:tcW w:type="dxa" w:w="4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Estadístico</w:t>
            </w:r>
          </w:p>
        </w:tc>
        <w:tc>
          <w:tcPr>
            <w:tcW w:type="dxa" w:w="19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Total / Valor</w:t>
            </w:r>
          </w:p>
        </w:tc>
        <w:tc>
          <w:tcPr>
            <w:tcW w:type="dxa" w:w="1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del total</w:t>
            </w:r>
          </w:p>
        </w:tc>
        <w:tc>
          <w:tcPr>
            <w:tcW w:type="dxa" w:w="1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Parque automotor total 2023</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1,543,525</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4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Vehículos por cada mil habitantes 2023</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431</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1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alto</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Decil del total de vehículos (vs. municipios del país)</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4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Decil de vehículos por cada mil habitantes</w:t>
            </w:r>
          </w:p>
        </w:tc>
        <w:tc>
          <w:tcPr>
            <w:tcW w:type="dxa" w:w="19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w:t>
            </w:r>
          </w:p>
        </w:tc>
        <w:tc>
          <w:tcPr>
            <w:tcW w:type="dxa" w:w="17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c>
          <w:tcPr>
            <w:tcW w:type="dxa" w:w="1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Parque automotor 2022 / Crecimiento 2023</w:t>
            </w:r>
          </w:p>
        </w:tc>
        <w:tc>
          <w:tcPr>
            <w:tcW w:type="dxa" w:w="19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1,431,327</w:t>
            </w:r>
          </w:p>
        </w:tc>
        <w:tc>
          <w:tcPr>
            <w:tcW w:type="dxa" w:w="17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7.8%</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w:t>
            </w:r>
          </w:p>
        </w:tc>
      </w:tr>
    </w:tbl>
    <w:p>
      <w:pPr>
        <w:spacing w:after="160"/>
        <w:jc w:val="both"/>
      </w:pPr>
      <w:r>
        <w:rPr>
          <w:rFonts w:ascii="Arial" w:cs="Arial" w:eastAsia="Arial" w:hAnsi="Arial"/>
          <w:b w:val="false"/>
          <w:bCs w:val="false"/>
          <w:i w:val="false"/>
          <w:iCs w:val="false"/>
          <w:color w:val="404040"/>
          <w:sz w:val="22"/>
          <w:szCs w:val="22"/>
        </w:rPr>
        <w:t xml:space="preserve">Con 1,543,525 vehículos y 431 por cada mil habitantes (decil 8, muy alto), el área está entre las más motorizadas del país, y el parque creció 7.8% de 2022 a 2023. La composición del parque local se reporta solo como descripción: los vehículos circulan en municipios distintos a aquel donde están registrados, así que su distribución por tipo no admite comparación entre municipios.</w:t>
      </w:r>
    </w:p>
    <w:p>
      <w:pPr>
        <w:keepNext/>
        <w:keepLines/>
        <w:spacing w:after="120" w:before="200"/>
      </w:pPr>
      <w:r>
        <w:rPr>
          <w:rFonts w:ascii="Arial" w:cs="Arial" w:eastAsia="Arial" w:hAnsi="Arial"/>
          <w:b/>
          <w:bCs/>
          <w:color w:val="2E75B6"/>
          <w:sz w:val="26"/>
          <w:szCs w:val="26"/>
        </w:rPr>
        <w:t xml:space="preserve">Insights de movilidad</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DECIL 10 EN PARQUE VEHICULAR TOTAL</w:t>
            </w:r>
          </w:p>
          <w:p>
            <w:pPr>
              <w:jc w:val="both"/>
            </w:pPr>
            <w:r>
              <w:rPr>
                <w:rFonts w:ascii="Arial" w:cs="Arial" w:eastAsia="Arial" w:hAnsi="Arial"/>
                <w:color w:val="333333"/>
                <w:sz w:val="19"/>
                <w:szCs w:val="19"/>
              </w:rPr>
              <w:t xml:space="preserve">1,543,525 vehículos registrados: el área tiene más vehículos que casi cualquier municipio del país. Los formatos sobre corredor carretero y de servicio al auto tienen aquí una base real.</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431 VEHÍCULOS POR CADA MIL HABITANTES, PERO NO TODOS SON AUTOS</w:t>
            </w:r>
          </w:p>
          <w:p>
            <w:pPr>
              <w:jc w:val="both"/>
            </w:pPr>
            <w:r>
              <w:rPr>
                <w:rFonts w:ascii="Arial" w:cs="Arial" w:eastAsia="Arial" w:hAnsi="Arial"/>
                <w:color w:val="333333"/>
                <w:sz w:val="19"/>
                <w:szCs w:val="19"/>
              </w:rPr>
              <w:t xml:space="preserve">Con decil 8 y calificación muy alto en vehículos por cada mil habitantes, el área está muy motorizada. Pero solo 47.2% de los hogares tiene automóvil (decil 8, regular) frente a 16.6% con motocicleta (decil 8, muy alto): diseñar el acceso solo para autos deja fuera a un cliente relevante.</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EL PARQUE CRECIÓ 7.8% EN UN AÑO</w:t>
            </w:r>
          </w:p>
          <w:p>
            <w:pPr>
              <w:jc w:val="both"/>
            </w:pPr>
            <w:r>
              <w:rPr>
                <w:rFonts w:ascii="Arial" w:cs="Arial" w:eastAsia="Arial" w:hAnsi="Arial"/>
                <w:color w:val="333333"/>
                <w:sz w:val="19"/>
                <w:szCs w:val="19"/>
              </w:rPr>
              <w:t xml:space="preserve">112,198 vehículos más entre 2022 y 2023. La demanda de servicio, refacciones, lavado y seguro automotor y de motocicleta crece al mismo ritmo: es de los pocos giros con demanda verificablemente en expansión.</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04</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TALLER DE MOTOCICLETAS, NO SOLO DE AUTOS</w:t>
            </w:r>
          </w:p>
          <w:p>
            <w:pPr>
              <w:jc w:val="both"/>
            </w:pPr>
            <w:r>
              <w:rPr>
                <w:rFonts w:ascii="Arial" w:cs="Arial" w:eastAsia="Arial" w:hAnsi="Arial"/>
                <w:color w:val="333333"/>
                <w:sz w:val="19"/>
                <w:szCs w:val="19"/>
              </w:rPr>
              <w:t xml:space="preserve">288,229 motocicletas particulares forman parte del parque vehicular del área. Un taller especializado en motocicleta, con menos competencia formal que uno de autos, atiende un canal de movilidad más grande de lo típico en el país.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05</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REPARTO A DOMICILIO VIABLE SIN FLOTA PROPIA</w:t>
            </w:r>
          </w:p>
          <w:p>
            <w:pPr>
              <w:jc w:val="both"/>
            </w:pPr>
            <w:r>
              <w:rPr>
                <w:rFonts w:ascii="Arial" w:cs="Arial" w:eastAsia="Arial" w:hAnsi="Arial"/>
                <w:color w:val="333333"/>
                <w:sz w:val="19"/>
                <w:szCs w:val="19"/>
              </w:rPr>
              <w:t xml:space="preserve">Con 1,543,525 vehículos entre autos y motocicletas ya circulando en el área, tercerizar el reparto a domicilio de comercio básico o de producto agrícola de valor es barato: no exige inversión propia en unidades.</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panorama completo de producción agropecuaria, clima, seguridad y movilidad, llegamos al momento central del reporte: las 10 recomendaciones estratégicas de negocio.</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07  ·  RECOMENDACIONES ESTRATÉGICAS DE NEGOCIO</w:t>
      </w:r>
    </w:p>
    <w:p>
      <w:pPr>
        <w:keepNext/>
        <w:spacing w:after="200" w:before="60"/>
      </w:pPr>
      <w:r>
        <w:rPr>
          <w:rFonts w:ascii="Arial" w:cs="Arial" w:eastAsia="Arial" w:hAnsi="Arial"/>
          <w:i/>
          <w:iCs/>
          <w:color w:val="555555"/>
          <w:sz w:val="21"/>
          <w:szCs w:val="21"/>
        </w:rPr>
        <w:t xml:space="preserve">¿Cuáles son los 10 negocios con mayor probabilidad de éxito en esta región específica?</w:t>
      </w:r>
    </w:p>
    <w:p>
      <w:pPr>
        <w:spacing w:after="160"/>
        <w:jc w:val="both"/>
      </w:pPr>
      <w:r>
        <w:rPr>
          <w:rFonts w:ascii="Arial" w:cs="Arial" w:eastAsia="Arial" w:hAnsi="Arial"/>
          <w:b w:val="false"/>
          <w:bCs w:val="false"/>
          <w:i w:val="false"/>
          <w:iCs w:val="false"/>
          <w:color w:val="404040"/>
          <w:sz w:val="22"/>
          <w:szCs w:val="22"/>
        </w:rPr>
        <w:t xml:space="preserve">Con base en el análisis integral de esta región se identifican los 10 giros con mayor probabilidad de éxito, ordenados del más al menos viable. Cada recomendación se deriva únicamente de los datos de las secciones anteriores.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01</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Empaque y cadena de frío para aguacate y fresa de exportación</w:t>
            </w:r>
          </w:p>
          <w:p>
            <w:pPr>
              <w:jc w:val="both"/>
            </w:pPr>
            <w:r>
              <w:rPr>
                <w:rFonts w:ascii="Arial" w:cs="Arial" w:eastAsia="Arial" w:hAnsi="Arial"/>
                <w:i/>
                <w:iCs/>
                <w:color w:val="333333"/>
                <w:sz w:val="19"/>
                <w:szCs w:val="19"/>
              </w:rPr>
              <w:t xml:space="preserve">El área produce 37.4% del aguacate y 21.6% de la fresa nacionales, ambos en decil 10 y perecederos de alto valor que exigen cadena de frío desde el huerto. El diferenciador es la vinculación de Morelia con la vertiente aguacatera de Michoacán.</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Productores   |   Género: Mixto   |   Competencia: BAJA   |   Horario pico: Lun-Sáb, temporada de cosecha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02</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Agroindustria de valor agregado de aguacate (guacamole, pulpa congelada, aceite)</w:t>
            </w:r>
          </w:p>
          <w:p>
            <w:pPr>
              <w:jc w:val="both"/>
            </w:pPr>
            <w:r>
              <w:rPr>
                <w:rFonts w:ascii="Arial" w:cs="Arial" w:eastAsia="Arial" w:hAnsi="Arial"/>
                <w:i/>
                <w:iCs/>
                <w:color w:val="333333"/>
                <w:sz w:val="19"/>
                <w:szCs w:val="19"/>
              </w:rPr>
              <w:t xml:space="preserve">Con apenas 1.0% del empleo local en el sector primario pero 37.4% del aguacate nacional, el área produce materia prima de exportación sin transformar la mayor parte localmente. Cada tonelada procesada retiene un margen que hoy se va sin agregar valor.</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Productores   |   Género: Mixto   |   Competencia: BAJA   |   Horario pico: Lun-Vie, turnos de producción</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03</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Acopio y logística de granos a granel (sorgo, trigo, maíz)</w:t>
            </w:r>
          </w:p>
          <w:p>
            <w:pPr>
              <w:jc w:val="both"/>
            </w:pPr>
            <w:r>
              <w:rPr>
                <w:rFonts w:ascii="Arial" w:cs="Arial" w:eastAsia="Arial" w:hAnsi="Arial"/>
                <w:i/>
                <w:iCs/>
                <w:color w:val="333333"/>
                <w:sz w:val="19"/>
                <w:szCs w:val="19"/>
              </w:rPr>
              <w:t xml:space="preserve">Sorgo grano (10.2% nacional), trigo grano (9.3%) y maíz grano (7.0%, 1,919,986 toneladas), los tres en decil 10, mueven un volumen de granel que exige transporte y almacenamiento distinto al de la fruta de exportación.</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Productores   |   Género: Mixto   |   Competencia: BAJA   |   Horario pico: Lun-Sáb, temporada de cosecha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04</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Servicio y refacciones para motocicleta</w:t>
            </w:r>
          </w:p>
          <w:p>
            <w:pPr>
              <w:jc w:val="both"/>
            </w:pPr>
            <w:r>
              <w:rPr>
                <w:rFonts w:ascii="Arial" w:cs="Arial" w:eastAsia="Arial" w:hAnsi="Arial"/>
                <w:i/>
                <w:iCs/>
                <w:color w:val="333333"/>
                <w:sz w:val="19"/>
                <w:szCs w:val="19"/>
              </w:rPr>
              <w:t xml:space="preserve">16.6% de los hogares tiene motocicleta con decil 8 y calificación muy alto, y las motos particulares suman 288,229 unidades del parque. Un taller especializado en motocicleta atiende un canal de movilidad más grande que en el resto del país, con menos competencia formal que el de autos.</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C y D   |   Edad: 20-45   |   Género: Mixto   |   Competencia: MEDIA   |   Horario pico: Lun-Sáb 9:00-19:00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05</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Restaurante o cafetería techada con espacio de confort térmico</w:t>
            </w:r>
          </w:p>
          <w:p>
            <w:pPr>
              <w:jc w:val="both"/>
            </w:pPr>
            <w:r>
              <w:rPr>
                <w:rFonts w:ascii="Arial" w:cs="Arial" w:eastAsia="Arial" w:hAnsi="Arial"/>
                <w:i/>
                <w:iCs/>
                <w:color w:val="333333"/>
                <w:sz w:val="19"/>
                <w:szCs w:val="19"/>
              </w:rPr>
              <w:t xml:space="preserve">Con solo mes y medio de máximas de 35°C o más (decil 3, bajo) pero 8 meses con mínimas de 15°C o menos (decil 7, alto), la demanda no es de aire acondicionado sino de espacio cálido y bebida caliente; y Alitas, con 597,446 habitantes por sucursal, muestra que el ocio formal está prácticamente ausente.</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C y C–   |   Edad: 25-45   |   Género: Mixto   |   Competencia: BAJA   |   Horario pico: Jue-Dom 18:00-23:00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06</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Clínica privada con enfoque en accesibilidad</w:t>
            </w:r>
          </w:p>
          <w:p>
            <w:pPr>
              <w:jc w:val="both"/>
            </w:pPr>
            <w:r>
              <w:rPr>
                <w:rFonts w:ascii="Arial" w:cs="Arial" w:eastAsia="Arial" w:hAnsi="Arial"/>
                <w:i/>
                <w:iCs/>
                <w:color w:val="333333"/>
                <w:sz w:val="19"/>
                <w:szCs w:val="19"/>
              </w:rPr>
              <w:t xml:space="preserve">192,506 personas con alguna discapacidad (5.4%, calificación alta) y el giro Farmacias ya saturado (5,549 habitantes por sucursal, el segundo más denso del área). En vez de competir en venta de medicamento, un consultorio con acceso universal y laboratorio atiende una necesidad no cubierta.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C y C–   |   Edad: Todas   |   Género: Mixto   |   Competencia: MEDIA   |   Horario pico: Lun-Sáb 8:00-20:00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07</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Seguridad privada y monitoreo para comercio</w:t>
            </w:r>
          </w:p>
          <w:p>
            <w:pPr>
              <w:jc w:val="both"/>
            </w:pPr>
            <w:r>
              <w:rPr>
                <w:rFonts w:ascii="Arial" w:cs="Arial" w:eastAsia="Arial" w:hAnsi="Arial"/>
                <w:i/>
                <w:iCs/>
                <w:color w:val="333333"/>
                <w:sz w:val="19"/>
                <w:szCs w:val="19"/>
              </w:rPr>
              <w:t xml:space="preserve">Lesiones dolosas, otros robos y otros bienes públicos afectados registran decil 9 con calificación muy alto. Cada negocio del área necesita presupuestar vigilancia, aunque el robo a negocio en sí sea apenas regular (decil 5): el riesgo viene del entorno general, no de un blanco directo al comercio.</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Comercios   |   Género: Mixto   |   Competencia: MEDIA   |   Horario pico: Lun-Dom 24 h</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08</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Insumos y sanidad para ganadería mixta</w:t>
            </w:r>
          </w:p>
          <w:p>
            <w:pPr>
              <w:jc w:val="both"/>
            </w:pPr>
            <w:r>
              <w:rPr>
                <w:rFonts w:ascii="Arial" w:cs="Arial" w:eastAsia="Arial" w:hAnsi="Arial"/>
                <w:i/>
                <w:iCs/>
                <w:color w:val="333333"/>
                <w:sz w:val="19"/>
                <w:szCs w:val="19"/>
              </w:rPr>
              <w:t xml:space="preserve">202,321 cabezas están en libre pastoreo y 179,596 en establos (estabuladas y semiestabuladas): un sistema híbrido que demanda tanto sanidad e insumos de campo como alimento balanceado técnico, dos negocios en un mismo territorio.</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Productores   |   Género: Mixto   |   Competencia: BAJA   |   Horario pico: Lun-Sáb 8:00-18:00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09</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Retail especializado para el bolsillo C y C–</w:t>
            </w:r>
          </w:p>
          <w:p>
            <w:pPr>
              <w:jc w:val="both"/>
            </w:pPr>
            <w:r>
              <w:rPr>
                <w:rFonts w:ascii="Arial" w:cs="Arial" w:eastAsia="Arial" w:hAnsi="Arial"/>
                <w:i/>
                <w:iCs/>
                <w:color w:val="333333"/>
                <w:sz w:val="19"/>
                <w:szCs w:val="19"/>
              </w:rPr>
              <w:t xml:space="preserve">La población NSE C y C– suma 1,014,863 personas (28.3%, calificación alta) y el giro Tienda de lencería, con 275,744 habitantes por sucursal, muestra que el retail especializado está entre los más desatendidos del área. Un formato de precio medio con curaduría captura ese volumen sin pelear contra la conveniencia ya saturada.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C y C–   |   Edad: 25-50   |   Género: Femenino   |   Competencia: BAJA   |   Horario pico: Lun-Sáb 11:00-20:00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8"/>
                <w:szCs w:val="28"/>
              </w:rPr>
              <w:t xml:space="preserve">10</w:t>
            </w:r>
          </w:p>
        </w:tc>
        <w:tc>
          <w:tcPr>
            <w:tcW w:type="dxa" w:w="86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spacing w:after="60"/>
            </w:pPr>
            <w:r>
              <w:rPr>
                <w:rFonts w:ascii="Arial" w:cs="Arial" w:eastAsia="Arial" w:hAnsi="Arial"/>
                <w:b/>
                <w:bCs/>
                <w:color w:val="0D2F55"/>
                <w:sz w:val="21"/>
                <w:szCs w:val="21"/>
              </w:rPr>
              <w:t xml:space="preserve">Transporte especializado y logística de última milla</w:t>
            </w:r>
          </w:p>
          <w:p>
            <w:pPr>
              <w:jc w:val="both"/>
            </w:pPr>
            <w:r>
              <w:rPr>
                <w:rFonts w:ascii="Arial" w:cs="Arial" w:eastAsia="Arial" w:hAnsi="Arial"/>
                <w:i/>
                <w:iCs/>
                <w:color w:val="333333"/>
                <w:sz w:val="19"/>
                <w:szCs w:val="19"/>
              </w:rPr>
              <w:t xml:space="preserve">Con 1,543,525 vehículos registrados (decil 10) y un parque que creció 7.8% en un año, el ecosistema de transporte ya existe; sumado a 288,229 motocicletas particulares, el reparto de comercio básico y de producto agrícola de valor puede tercerizarse sin inversión propia en unidades.</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EAF4FB"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1B4F8A"/>
                <w:sz w:val="18"/>
                <w:szCs w:val="18"/>
              </w:rPr>
              <w:t xml:space="preserve">NSE: B2B   |   Edad: Operadores   |   Género: Mixto   |   Competencia: MEDIA   |   Horario pico: Lun-Dom, según demanda</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Días y horarios de mayor consumo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600"/>
        <w:gridCol w:w="2000"/>
        <w:gridCol w:w="2000"/>
        <w:gridCol w:w="2760"/>
      </w:tblGrid>
      <w:tr>
        <w:trPr>
          <w:cantSplit/>
          <w:tblHeader/>
        </w:trPr>
        <w:tc>
          <w:tcPr>
            <w:tcW w:type="dxa" w:w="2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negocio</w:t>
            </w:r>
          </w:p>
        </w:tc>
        <w:tc>
          <w:tcPr>
            <w:tcW w:type="dxa" w:w="2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Días pico</w:t>
            </w:r>
          </w:p>
        </w:tc>
        <w:tc>
          <w:tcPr>
            <w:tcW w:type="dxa" w:w="2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Horario pico</w:t>
            </w:r>
          </w:p>
        </w:tc>
        <w:tc>
          <w:tcPr>
            <w:tcW w:type="dxa" w:w="2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consumidor</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Formato de paso (café, pan, bebida caliente)</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Lun-Vie</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7:00-9:00 y 18:00-20:00</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Empleado urbano y familia NSE C</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Comercio básico y conveniencia</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Vie-Dom</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17:00-21:00</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Familia NSE C y D con motocicleta o auto</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Restaurante y ocio techado</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Jue-Sáb</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19:00-23:00</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C y C– de 25 a 45 años</w:t>
            </w:r>
          </w:p>
        </w:tc>
      </w:tr>
      <w:tr>
        <w:trPr>
          <w:cantSplit/>
        </w:trPr>
        <w:tc>
          <w:tcPr>
            <w:tcW w:type="dxa" w:w="2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Taller de motocicletas</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Sáb</w:t>
            </w:r>
          </w:p>
        </w:tc>
        <w:tc>
          <w:tcPr>
            <w:tcW w:type="dxa" w:w="2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9:00-14:00</w:t>
            </w:r>
          </w:p>
        </w:tc>
        <w:tc>
          <w:tcPr>
            <w:tcW w:type="dxa" w:w="2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Propietario de motocicleta, 20 a 45</w:t>
            </w:r>
          </w:p>
        </w:tc>
      </w:tr>
      <w:tr>
        <w:trPr>
          <w:cantSplit/>
        </w:trPr>
        <w:tc>
          <w:tcPr>
            <w:tcW w:type="dxa" w:w="2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Agroinsumos y acopio B2B</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Lun-Sáb</w:t>
            </w:r>
          </w:p>
        </w:tc>
        <w:tc>
          <w:tcPr>
            <w:tcW w:type="dxa" w:w="2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8:00-11:00</w:t>
            </w:r>
          </w:p>
        </w:tc>
        <w:tc>
          <w:tcPr>
            <w:tcW w:type="dxa" w:w="2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Productor en temporada de siembra o cosecha</w:t>
            </w:r>
          </w:p>
        </w:tc>
      </w:tr>
    </w:tbl>
    <w:p>
      <w:pPr>
        <w:keepNext/>
        <w:keepLines/>
        <w:spacing w:after="120" w:before="200"/>
      </w:pPr>
      <w:r>
        <w:rPr>
          <w:rFonts w:ascii="Arial" w:cs="Arial" w:eastAsia="Arial" w:hAnsi="Arial"/>
          <w:b/>
          <w:bCs/>
          <w:color w:val="2E75B6"/>
          <w:sz w:val="26"/>
          <w:szCs w:val="26"/>
        </w:rPr>
        <w:t xml:space="preserve">Giros que se desaconsejan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FFF2CC" w:val="clear"/>
            <w:tcMar>
              <w:top w:type="dxa" w:w="140"/>
              <w:left w:type="dxa" w:w="200"/>
              <w:bottom w:type="dxa" w:w="140"/>
              <w:right w:type="dxa" w:w="200"/>
            </w:tcMar>
          </w:tcPr>
          <w:p>
            <w:pPr>
              <w:spacing w:after="120"/>
              <w:jc w:val="both"/>
            </w:pPr>
            <w:r>
              <w:rPr>
                <w:rFonts w:ascii="Arial" w:cs="Arial" w:eastAsia="Arial" w:hAnsi="Arial"/>
                <w:b/>
                <w:bCs/>
                <w:color w:val="5F5320"/>
                <w:sz w:val="20"/>
                <w:szCs w:val="20"/>
              </w:rPr>
              <w:t xml:space="preserve">GIROS QUE SE DESACONSEJAN SIN DIFERENCIACIÓN MUY CLARA O VENTAJA COMPETITIVA SÓLIDA</w:t>
            </w:r>
          </w:p>
          <w:p>
            <w:pPr>
              <w:spacing w:after="120"/>
              <w:jc w:val="both"/>
            </w:pPr>
            <w:r>
              <w:rPr>
                <w:rFonts w:ascii="Arial" w:cs="Arial" w:eastAsia="Arial" w:hAnsi="Arial"/>
                <w:b w:val="false"/>
                <w:bCs w:val="false"/>
                <w:color w:val="5F5320"/>
                <w:sz w:val="20"/>
                <w:szCs w:val="20"/>
              </w:rPr>
              <w:t xml:space="preserve">Tiendas de conveniencia — 990 sucursales y 3,621 habitantes por sucursal, el giro más saturado del área: competir sin escala logística es entrar en desventaja frente a cadenas ya establecidas.</w:t>
            </w:r>
          </w:p>
          <w:p>
            <w:pPr>
              <w:spacing w:after="120"/>
              <w:jc w:val="both"/>
            </w:pPr>
            <w:r>
              <w:rPr>
                <w:rFonts w:ascii="Arial" w:cs="Arial" w:eastAsia="Arial" w:hAnsi="Arial"/>
                <w:b w:val="false"/>
                <w:bCs w:val="false"/>
                <w:color w:val="5F5320"/>
                <w:sz w:val="20"/>
                <w:szCs w:val="20"/>
              </w:rPr>
              <w:t xml:space="preserve">Cadena F. Nacional (farmacias) — 646 sucursales con 5,549 habitantes por sucursal, el segundo giro más denso: el mercado de medicamento de mostrador ya está cubierto.</w:t>
            </w:r>
          </w:p>
          <w:p>
            <w:pPr>
              <w:spacing w:after="120"/>
              <w:jc w:val="both"/>
            </w:pPr>
            <w:r>
              <w:rPr>
                <w:rFonts w:ascii="Arial" w:cs="Arial" w:eastAsia="Arial" w:hAnsi="Arial"/>
                <w:b w:val="false"/>
                <w:bCs w:val="false"/>
                <w:color w:val="5F5320"/>
                <w:sz w:val="20"/>
                <w:szCs w:val="20"/>
              </w:rPr>
              <w:t xml:space="preserve">Giros intensivos en agua sin fuente propia — con 72.4% de hogares con agua entubada de la red pública (decil 4, muy bajo), verificar suministro es indispensable antes de comprometer un modelo de negocio.</w:t>
            </w:r>
          </w:p>
          <w:p>
            <w:pPr>
              <w:spacing w:after="0"/>
              <w:jc w:val="both"/>
            </w:pPr>
            <w:r>
              <w:rPr>
                <w:rFonts w:ascii="Arial" w:cs="Arial" w:eastAsia="Arial" w:hAnsi="Arial"/>
                <w:b w:val="false"/>
                <w:bCs w:val="false"/>
                <w:color w:val="5F5320"/>
                <w:sz w:val="20"/>
                <w:szCs w:val="20"/>
              </w:rPr>
              <w:t xml:space="preserve">Comercio nocturno sin plan de seguridad — con lesiones dolosas y otros robos en decil 9, el horario extendido sin protocolo de seguridad es exposición directa.</w:t>
            </w:r>
          </w:p>
        </w:tc>
      </w:tr>
    </w:tbl>
    <w:p>
      <w:pPr>
        <w:keepNext/>
        <w:keepLines/>
        <w:spacing w:after="120" w:before="200"/>
      </w:pPr>
      <w:r>
        <w:rPr>
          <w:rFonts w:ascii="Arial" w:cs="Arial" w:eastAsia="Arial" w:hAnsi="Arial"/>
          <w:b/>
          <w:bCs/>
          <w:color w:val="2E75B6"/>
          <w:sz w:val="26"/>
          <w:szCs w:val="26"/>
        </w:rPr>
        <w:t xml:space="preserve">Factores clave de éxito en la región</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Verificación de suministro de agua antes de firmar cualquier renta: solo 72.4% de los hogares tiene agua entubada de la red pública, decil 4.</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Plan de seguridad presupuestado desde el día uno: lesiones dolosas, otros robos y otros bienes públicos afectados están en decil 9.</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Capacitación interna del personal: el grado promedio de escolaridad es de 7.6 años, equivalente a secundaria incompleta.</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Estrategia de movilidad mixta auto y motocicleta: 47.2% de los hogares tiene auto (decil 8) y 16.6% tiene motocicleta con calificación muy alto.</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Cadena de frío como eje de cualquier proyecto ligado al campo: el área concentra 37.4% del volumen nacional de aguacate.</w:t>
      </w:r>
    </w:p>
    <w:p>
      <w:pPr>
        <w:pBdr>
          <w:left w:val="single" w:color="2E75B6" w:sz="12" w:space="8"/>
        </w:pBdr>
        <w:spacing w:after="120" w:before="200"/>
        <w:ind w:left="360"/>
        <w:jc w:val="both"/>
      </w:pPr>
      <w:r>
        <w:rPr>
          <w:rFonts w:ascii="Arial" w:cs="Arial" w:eastAsia="Arial" w:hAnsi="Arial"/>
          <w:i/>
          <w:iCs/>
          <w:color w:val="2E75B6"/>
          <w:sz w:val="20"/>
          <w:szCs w:val="20"/>
        </w:rPr>
        <w:t xml:space="preserve">Con las recomendaciones establecidas, pasamos a la clasificación formal de la región y al mapa de riesgos comerciales que todo inversionista debe conocer antes de decidir.</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08  ·  CLASIFICACIÓN DE LA REGIÓN Y RIESGOS</w:t>
      </w:r>
    </w:p>
    <w:p>
      <w:pPr>
        <w:keepNext/>
        <w:spacing w:after="200" w:before="60"/>
      </w:pPr>
      <w:r>
        <w:rPr>
          <w:rFonts w:ascii="Arial" w:cs="Arial" w:eastAsia="Arial" w:hAnsi="Arial"/>
          <w:i/>
          <w:iCs/>
          <w:color w:val="555555"/>
          <w:sz w:val="21"/>
          <w:szCs w:val="21"/>
        </w:rPr>
        <w:t xml:space="preserve">¿Cómo se clasifica esta región y cuáles son los riesgos comerciales que debes conocer antes de invertir?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cantSplit/>
        </w:trPr>
        <w:tc>
          <w:tcPr>
            <w:tcW w:type="dxa" w:w="3000"/>
            <w:tcBorders>
              <w:top w:val="single" w:color="FFFFFF" w:sz="2"/>
              <w:left w:val="single" w:color="FFFFFF" w:sz="2"/>
              <w:bottom w:val="single" w:color="FFFFFF" w:sz="2"/>
              <w:right w:val="single" w:color="FFFFFF" w:sz="2"/>
            </w:tcBorders>
            <w:shd w:fill="DEE8F2" w:val="clear"/>
            <w:tcMar>
              <w:top w:type="dxa" w:w="100"/>
              <w:left w:type="dxa" w:w="140"/>
              <w:bottom w:type="dxa" w:w="100"/>
              <w:right w:type="dxa" w:w="140"/>
            </w:tcMar>
            <w:vAlign w:val="center"/>
          </w:tcPr>
          <w:p>
            <w:pPr>
              <w:jc w:val="left"/>
            </w:pPr>
            <w:r>
              <w:rPr>
                <w:rFonts w:ascii="Arial" w:cs="Arial" w:eastAsia="Arial" w:hAnsi="Arial"/>
                <w:b/>
                <w:bCs/>
                <w:i w:val="false"/>
                <w:iCs w:val="false"/>
                <w:color w:val="1B4F8A"/>
                <w:sz w:val="20"/>
                <w:szCs w:val="20"/>
              </w:rPr>
              <w:t xml:space="preserve">Tipo de región</w:t>
            </w:r>
          </w:p>
        </w:tc>
        <w:tc>
          <w:tcPr>
            <w:tcW w:type="dxa" w:w="6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404040"/>
                <w:sz w:val="20"/>
                <w:szCs w:val="20"/>
              </w:rPr>
              <w:t xml:space="preserve">AGROINDUSTRIAL — solo 1.0% del empleo local es del sector primario, pero el área concentra 37.4% del volumen nacional de aguacate y participa con decil 10 en más de veinte cultivos: campo de escala nacional con una estructura de empleo mayoritariamente de comercio y servicios.</w:t>
            </w:r>
          </w:p>
        </w:tc>
      </w:tr>
      <w:tr>
        <w:trPr>
          <w:cantSplit/>
        </w:trPr>
        <w:tc>
          <w:tcPr>
            <w:tcW w:type="dxa" w:w="3000"/>
            <w:tcBorders>
              <w:top w:val="single" w:color="FFFFFF" w:sz="2"/>
              <w:left w:val="single" w:color="FFFFFF" w:sz="2"/>
              <w:bottom w:val="single" w:color="FFFFFF" w:sz="2"/>
              <w:right w:val="single" w:color="FFFFFF" w:sz="2"/>
            </w:tcBorders>
            <w:shd w:fill="DEE8F2" w:val="clear"/>
            <w:tcMar>
              <w:top w:type="dxa" w:w="100"/>
              <w:left w:type="dxa" w:w="140"/>
              <w:bottom w:type="dxa" w:w="100"/>
              <w:right w:type="dxa" w:w="140"/>
            </w:tcMar>
            <w:vAlign w:val="center"/>
          </w:tcPr>
          <w:p>
            <w:pPr>
              <w:jc w:val="left"/>
            </w:pPr>
            <w:r>
              <w:rPr>
                <w:rFonts w:ascii="Arial" w:cs="Arial" w:eastAsia="Arial" w:hAnsi="Arial"/>
                <w:b/>
                <w:bCs/>
                <w:i w:val="false"/>
                <w:iCs w:val="false"/>
                <w:color w:val="1B4F8A"/>
                <w:sz w:val="20"/>
                <w:szCs w:val="20"/>
              </w:rPr>
              <w:t xml:space="preserve">Capacidad de consumo</w:t>
            </w:r>
          </w:p>
        </w:tc>
        <w:tc>
          <w:tcPr>
            <w:tcW w:type="dxa" w:w="6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404040"/>
                <w:sz w:val="20"/>
                <w:szCs w:val="20"/>
              </w:rPr>
              <w:t xml:space="preserve">MEDIA — NSE dominante D, E y NA (70.3%) con un bolsillo de NSE C y C– de 1,014,863 personas (28.3%, calificación alta) y un nicho ABC+ de 49,733 personas (1.4%, calificación muy alto). PEA de 1,712,680 personas (47.8%, calificación muy bajo).</w:t>
            </w:r>
          </w:p>
        </w:tc>
      </w:tr>
      <w:tr>
        <w:trPr>
          <w:cantSplit/>
        </w:trPr>
        <w:tc>
          <w:tcPr>
            <w:tcW w:type="dxa" w:w="3000"/>
            <w:tcBorders>
              <w:top w:val="single" w:color="FFFFFF" w:sz="2"/>
              <w:left w:val="single" w:color="FFFFFF" w:sz="2"/>
              <w:bottom w:val="single" w:color="FFFFFF" w:sz="2"/>
              <w:right w:val="single" w:color="FFFFFF" w:sz="2"/>
            </w:tcBorders>
            <w:shd w:fill="DEE8F2" w:val="clear"/>
            <w:tcMar>
              <w:top w:type="dxa" w:w="100"/>
              <w:left w:type="dxa" w:w="140"/>
              <w:bottom w:type="dxa" w:w="100"/>
              <w:right w:type="dxa" w:w="140"/>
            </w:tcMar>
            <w:vAlign w:val="center"/>
          </w:tcPr>
          <w:p>
            <w:pPr>
              <w:jc w:val="left"/>
            </w:pPr>
            <w:r>
              <w:rPr>
                <w:rFonts w:ascii="Arial" w:cs="Arial" w:eastAsia="Arial" w:hAnsi="Arial"/>
                <w:b/>
                <w:bCs/>
                <w:i w:val="false"/>
                <w:iCs w:val="false"/>
                <w:color w:val="1B4F8A"/>
                <w:sz w:val="20"/>
                <w:szCs w:val="20"/>
              </w:rPr>
              <w:t xml:space="preserve">Perfil de clientes</w:t>
            </w:r>
          </w:p>
        </w:tc>
        <w:tc>
          <w:tcPr>
            <w:tcW w:type="dxa" w:w="6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404040"/>
                <w:sz w:val="20"/>
                <w:szCs w:val="20"/>
              </w:rPr>
              <w:t xml:space="preserve">Población joven-adulta con familia en formación (grupos de 20 a 39 años sobre el promedio nacional), mayoritariamente NSE D, E y NA con un bolsillo medio relevante, movilidad mixta con un uso de motocicleta notablemente alto, y un componente de arraigo local marcado por baja migración de otras entidades y presencia de lengua indígena por encima del promedio nacional.</w:t>
            </w:r>
          </w:p>
        </w:tc>
      </w:tr>
      <w:tr>
        <w:trPr>
          <w:cantSplit/>
        </w:trPr>
        <w:tc>
          <w:tcPr>
            <w:tcW w:type="dxa" w:w="3000"/>
            <w:tcBorders>
              <w:top w:val="single" w:color="FFFFFF" w:sz="2"/>
              <w:left w:val="single" w:color="FFFFFF" w:sz="2"/>
              <w:bottom w:val="single" w:color="FFFFFF" w:sz="2"/>
              <w:right w:val="single" w:color="FFFFFF" w:sz="2"/>
            </w:tcBorders>
            <w:shd w:fill="DEE8F2" w:val="clear"/>
            <w:tcMar>
              <w:top w:type="dxa" w:w="100"/>
              <w:left w:type="dxa" w:w="140"/>
              <w:bottom w:type="dxa" w:w="100"/>
              <w:right w:type="dxa" w:w="140"/>
            </w:tcMar>
            <w:vAlign w:val="center"/>
          </w:tcPr>
          <w:p>
            <w:pPr>
              <w:jc w:val="left"/>
            </w:pPr>
            <w:r>
              <w:rPr>
                <w:rFonts w:ascii="Arial" w:cs="Arial" w:eastAsia="Arial" w:hAnsi="Arial"/>
                <w:b/>
                <w:bCs/>
                <w:i w:val="false"/>
                <w:iCs w:val="false"/>
                <w:color w:val="1B4F8A"/>
                <w:sz w:val="20"/>
                <w:szCs w:val="20"/>
              </w:rPr>
              <w:t xml:space="preserve">Actividad comercial</w:t>
            </w:r>
          </w:p>
        </w:tc>
        <w:tc>
          <w:tcPr>
            <w:tcW w:type="dxa" w:w="6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both"/>
            </w:pPr>
            <w:r>
              <w:rPr>
                <w:rFonts w:ascii="Arial" w:cs="Arial" w:eastAsia="Arial" w:hAnsi="Arial"/>
                <w:b w:val="false"/>
                <w:bCs w:val="false"/>
                <w:i w:val="false"/>
                <w:iCs w:val="false"/>
                <w:color w:val="404040"/>
                <w:sz w:val="20"/>
                <w:szCs w:val="20"/>
              </w:rPr>
              <w:t xml:space="preserve">Índice de Actividad Comercial: 495,499  │  IDC/Empleos: Muy alto  │  IDC/Población: Regular — núcleos comerciales con tráfico intenso (IDC/empleos muy alto) dentro de un área extensa donde el comercio formal por habitante es más limitado (IDC/población regular), patrón esperado a esta escala regional.</w:t>
            </w:r>
          </w:p>
        </w:tc>
      </w:tr>
    </w:tbl>
    <w:p>
      <w:pPr>
        <w:keepNext/>
        <w:keepLines/>
        <w:spacing w:after="120" w:before="200"/>
      </w:pPr>
      <w:r>
        <w:rPr>
          <w:rFonts w:ascii="Arial" w:cs="Arial" w:eastAsia="Arial" w:hAnsi="Arial"/>
          <w:b/>
          <w:bCs/>
          <w:color w:val="2E75B6"/>
          <w:sz w:val="26"/>
          <w:szCs w:val="26"/>
        </w:rPr>
        <w:t xml:space="preserve">Principales riesgos comerciales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360"/>
        <w:gridCol w:w="2000"/>
      </w:tblGrid>
      <w:tr>
        <w:trPr>
          <w:cantSplit/>
          <w:tblHeader/>
        </w:trPr>
        <w:tc>
          <w:tcPr>
            <w:tcW w:type="dxa" w:w="73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Riesgo comercial</w:t>
            </w:r>
          </w:p>
        </w:tc>
        <w:tc>
          <w:tcPr>
            <w:tcW w:type="dxa" w:w="2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Nivel</w:t>
            </w:r>
          </w:p>
        </w:tc>
      </w:tr>
      <w:tr>
        <w:trPr>
          <w:cantSplit/>
        </w:trPr>
        <w:tc>
          <w:tcPr>
            <w:tcW w:type="dxa" w:w="7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Lesiones dolosas, otros robos y otros bienes públicos afectados registran decil 9 con calificación muy alto: seguro, vigilancia e iluminación son costo fijo desde el primer mes en cualquier operación nocturna o de alto tráfico.</w:t>
            </w:r>
          </w:p>
        </w:tc>
        <w:tc>
          <w:tcPr>
            <w:tcW w:type="dxa" w:w="2000"/>
            <w:tcBorders>
              <w:top w:val="single" w:color="FFFFFF" w:sz="2"/>
              <w:left w:val="single" w:color="FFFFFF" w:sz="2"/>
              <w:bottom w:val="single" w:color="FFFFFF" w:sz="2"/>
              <w:right w:val="single" w:color="FFFFFF" w:sz="2"/>
            </w:tcBorders>
            <w:shd w:fill="FCE4D6" w:val="clear"/>
            <w:tcMar>
              <w:top w:type="dxa" w:w="100"/>
              <w:left w:type="dxa" w:w="140"/>
              <w:bottom w:type="dxa" w:w="100"/>
              <w:right w:type="dxa" w:w="140"/>
            </w:tcMar>
            <w:vAlign w:val="center"/>
          </w:tcPr>
          <w:p>
            <w:pPr>
              <w:jc w:val="center"/>
            </w:pPr>
            <w:r>
              <w:rPr>
                <w:rFonts w:ascii="Arial" w:cs="Arial" w:eastAsia="Arial" w:hAnsi="Arial"/>
                <w:b/>
                <w:bCs/>
                <w:i w:val="false"/>
                <w:iCs w:val="false"/>
                <w:color w:val="A00000"/>
                <w:sz w:val="19"/>
                <w:szCs w:val="19"/>
              </w:rPr>
              <w:t xml:space="preserve">Alto</w:t>
            </w:r>
          </w:p>
        </w:tc>
      </w:tr>
      <w:tr>
        <w:trPr>
          <w:cantSplit/>
        </w:trPr>
        <w:tc>
          <w:tcPr>
            <w:tcW w:type="dxa" w:w="7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Dependencia de dos cultivos de exportación (aguacate y fresa) sensibles a heladas, sequía y condiciones fitosanitarias: un ciclo agrícola adverso golpea el consumo de toda la región, no solo al campo.</w:t>
            </w:r>
          </w:p>
        </w:tc>
        <w:tc>
          <w:tcPr>
            <w:tcW w:type="dxa" w:w="2000"/>
            <w:tcBorders>
              <w:top w:val="single" w:color="FFFFFF" w:sz="2"/>
              <w:left w:val="single" w:color="FFFFFF" w:sz="2"/>
              <w:bottom w:val="single" w:color="FFFFFF" w:sz="2"/>
              <w:right w:val="single" w:color="FFFFFF" w:sz="2"/>
            </w:tcBorders>
            <w:shd w:fill="FCE4D6" w:val="clear"/>
            <w:tcMar>
              <w:top w:type="dxa" w:w="100"/>
              <w:left w:type="dxa" w:w="140"/>
              <w:bottom w:type="dxa" w:w="100"/>
              <w:right w:type="dxa" w:w="140"/>
            </w:tcMar>
            <w:vAlign w:val="center"/>
          </w:tcPr>
          <w:p>
            <w:pPr>
              <w:jc w:val="center"/>
            </w:pPr>
            <w:r>
              <w:rPr>
                <w:rFonts w:ascii="Arial" w:cs="Arial" w:eastAsia="Arial" w:hAnsi="Arial"/>
                <w:b/>
                <w:bCs/>
                <w:i w:val="false"/>
                <w:iCs w:val="false"/>
                <w:color w:val="A00000"/>
                <w:sz w:val="19"/>
                <w:szCs w:val="19"/>
              </w:rPr>
              <w:t xml:space="preserve">Alto</w:t>
            </w:r>
          </w:p>
        </w:tc>
      </w:tr>
      <w:tr>
        <w:trPr>
          <w:cantSplit/>
        </w:trPr>
        <w:tc>
          <w:tcPr>
            <w:tcW w:type="dxa" w:w="7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Solo 72.4% de los hogares tiene agua entubada de la red pública (decil 4, muy bajo): cualquier giro intensivo en agua debe verificar suministro antes de comprometer inversión.</w:t>
            </w:r>
          </w:p>
        </w:tc>
        <w:tc>
          <w:tcPr>
            <w:tcW w:type="dxa" w:w="2000"/>
            <w:tcBorders>
              <w:top w:val="single" w:color="FFFFFF" w:sz="2"/>
              <w:left w:val="single" w:color="FFFFFF" w:sz="2"/>
              <w:bottom w:val="single" w:color="FFFFFF" w:sz="2"/>
              <w:right w:val="single" w:color="FFFFFF" w:sz="2"/>
            </w:tcBorders>
            <w:shd w:fill="FFF2CC" w:val="clear"/>
            <w:tcMar>
              <w:top w:type="dxa" w:w="100"/>
              <w:left w:type="dxa" w:w="140"/>
              <w:bottom w:type="dxa" w:w="100"/>
              <w:right w:type="dxa" w:w="140"/>
            </w:tcMar>
            <w:vAlign w:val="center"/>
          </w:tcPr>
          <w:p>
            <w:pPr>
              <w:jc w:val="center"/>
            </w:pPr>
            <w:r>
              <w:rPr>
                <w:rFonts w:ascii="Arial" w:cs="Arial" w:eastAsia="Arial" w:hAnsi="Arial"/>
                <w:b/>
                <w:bCs/>
                <w:i w:val="false"/>
                <w:iCs w:val="false"/>
                <w:color w:val="7D6808"/>
                <w:sz w:val="19"/>
                <w:szCs w:val="19"/>
              </w:rPr>
              <w:t xml:space="preserve">medio</w:t>
            </w:r>
          </w:p>
        </w:tc>
      </w:tr>
      <w:tr>
        <w:trPr>
          <w:cantSplit/>
        </w:trPr>
        <w:tc>
          <w:tcPr>
            <w:tcW w:type="dxa" w:w="7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Grado promedio de escolaridad de 7.6 años, calificación muy bajo: exige capacitación interna presupuestada desde el arranque de cualquier operación.</w:t>
            </w:r>
          </w:p>
        </w:tc>
        <w:tc>
          <w:tcPr>
            <w:tcW w:type="dxa" w:w="2000"/>
            <w:tcBorders>
              <w:top w:val="single" w:color="FFFFFF" w:sz="2"/>
              <w:left w:val="single" w:color="FFFFFF" w:sz="2"/>
              <w:bottom w:val="single" w:color="FFFFFF" w:sz="2"/>
              <w:right w:val="single" w:color="FFFFFF" w:sz="2"/>
            </w:tcBorders>
            <w:shd w:fill="FFF2CC" w:val="clear"/>
            <w:tcMar>
              <w:top w:type="dxa" w:w="100"/>
              <w:left w:type="dxa" w:w="140"/>
              <w:bottom w:type="dxa" w:w="100"/>
              <w:right w:type="dxa" w:w="140"/>
            </w:tcMar>
            <w:vAlign w:val="center"/>
          </w:tcPr>
          <w:p>
            <w:pPr>
              <w:jc w:val="center"/>
            </w:pPr>
            <w:r>
              <w:rPr>
                <w:rFonts w:ascii="Arial" w:cs="Arial" w:eastAsia="Arial" w:hAnsi="Arial"/>
                <w:b/>
                <w:bCs/>
                <w:i w:val="false"/>
                <w:iCs w:val="false"/>
                <w:color w:val="7D6808"/>
                <w:sz w:val="19"/>
                <w:szCs w:val="19"/>
              </w:rPr>
              <w:t xml:space="preserve">medio</w:t>
            </w:r>
          </w:p>
        </w:tc>
      </w:tr>
      <w:tr>
        <w:trPr>
          <w:cantSplit/>
        </w:trPr>
        <w:tc>
          <w:tcPr>
            <w:tcW w:type="dxa" w:w="7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El giro de conveniencia y el de farmacias ya concentran la mayor densidad de sucursales formales del área: entrar sin diferenciador es competir por precio contra escala ya instalada.</w:t>
            </w:r>
          </w:p>
        </w:tc>
        <w:tc>
          <w:tcPr>
            <w:tcW w:type="dxa" w:w="2000"/>
            <w:tcBorders>
              <w:top w:val="single" w:color="FFFFFF" w:sz="2"/>
              <w:left w:val="single" w:color="FFFFFF" w:sz="2"/>
              <w:bottom w:val="single" w:color="FFFFFF" w:sz="2"/>
              <w:right w:val="single" w:color="FFFFFF" w:sz="2"/>
            </w:tcBorders>
            <w:shd w:fill="D9EAD3" w:val="clear"/>
            <w:tcMar>
              <w:top w:type="dxa" w:w="100"/>
              <w:left w:type="dxa" w:w="140"/>
              <w:bottom w:type="dxa" w:w="100"/>
              <w:right w:type="dxa" w:w="140"/>
            </w:tcMar>
            <w:vAlign w:val="center"/>
          </w:tcPr>
          <w:p>
            <w:pPr>
              <w:jc w:val="center"/>
            </w:pPr>
            <w:r>
              <w:rPr>
                <w:rFonts w:ascii="Arial" w:cs="Arial" w:eastAsia="Arial" w:hAnsi="Arial"/>
                <w:b/>
                <w:bCs/>
                <w:i w:val="false"/>
                <w:iCs w:val="false"/>
                <w:color w:val="276221"/>
                <w:sz w:val="19"/>
                <w:szCs w:val="19"/>
              </w:rPr>
              <w:t xml:space="preserve">Bajo</w:t>
            </w:r>
          </w:p>
        </w:tc>
      </w:tr>
    </w:tbl>
    <w:p>
      <w:pPr>
        <w:keepNext/>
        <w:keepLines/>
        <w:spacing w:after="120" w:before="200"/>
      </w:pPr>
      <w:r>
        <w:rPr>
          <w:rFonts w:ascii="Arial" w:cs="Arial" w:eastAsia="Arial" w:hAnsi="Arial"/>
          <w:b/>
          <w:bCs/>
          <w:color w:val="2E75B6"/>
          <w:sz w:val="26"/>
          <w:szCs w:val="26"/>
        </w:rPr>
        <w:t xml:space="preserve">Factores clave de éxito</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Ubicación sobre el corredor que conecta Morelia con la vertiente aguacatera de Michoacán.</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Diferenciación por accesibilidad y servicio frente a un mercado formal ya denso en conveniencia y farmacia.</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Vinculación con la cadena de exportación del aguacate y la fresa, los dos motores de escala nacional comprobada del área.</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Capacitación interna presupuestada desde el inicio, dado el grado promedio de escolaridad de 7.6 años.</w:t>
      </w:r>
    </w:p>
    <w:p>
      <w:pPr>
        <w:pBdr>
          <w:left w:val="single" w:color="2E75B6" w:sz="12" w:space="8"/>
        </w:pBdr>
        <w:spacing w:after="120" w:before="200"/>
        <w:ind w:left="360"/>
        <w:jc w:val="both"/>
      </w:pPr>
      <w:r>
        <w:rPr>
          <w:rFonts w:ascii="Arial" w:cs="Arial" w:eastAsia="Arial" w:hAnsi="Arial"/>
          <w:i/>
          <w:iCs/>
          <w:color w:val="2E75B6"/>
          <w:sz w:val="20"/>
          <w:szCs w:val="20"/>
        </w:rPr>
        <w:t xml:space="preserve">Con el mapa de riesgos claro, cerramos el análisis cuantitativo con las consideraciones sociales — los datos que revelan responsabilidades y oportunidades de negocio con impacto positivo en la comunidad.</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09  ·  CONSIDERACIONES SOCIALES</w:t>
      </w:r>
    </w:p>
    <w:p>
      <w:pPr>
        <w:keepNext/>
        <w:spacing w:after="200" w:before="60"/>
      </w:pPr>
      <w:r>
        <w:rPr>
          <w:rFonts w:ascii="Arial" w:cs="Arial" w:eastAsia="Arial" w:hAnsi="Arial"/>
          <w:i/>
          <w:iCs/>
          <w:color w:val="555555"/>
          <w:sz w:val="21"/>
          <w:szCs w:val="21"/>
        </w:rPr>
        <w:t xml:space="preserve">¿Qué datos sociales abren oportunidades de negocio con impacto positivo en la comunidad?</w:t>
      </w:r>
    </w:p>
    <w:p>
      <w:pPr>
        <w:spacing w:after="160"/>
        <w:jc w:val="both"/>
      </w:pPr>
      <w:r>
        <w:rPr>
          <w:rFonts w:ascii="Arial" w:cs="Arial" w:eastAsia="Arial" w:hAnsi="Arial"/>
          <w:b w:val="false"/>
          <w:bCs w:val="false"/>
          <w:i w:val="false"/>
          <w:iCs w:val="false"/>
          <w:color w:val="404040"/>
          <w:sz w:val="22"/>
          <w:szCs w:val="22"/>
        </w:rPr>
        <w:t xml:space="preserve">El análisis de mercado no puede ignorar los aspectos sociales de la región. Estos datos revelan tanto responsabilidades de los negocios que se instalen en ella, como oportunidades para modelos de negocio con impacto social positivo y retorno comercial comprobado.</w:t>
      </w:r>
    </w:p>
    <w:p>
      <w:pPr>
        <w:keepNext/>
        <w:keepLines/>
        <w:spacing w:after="120" w:before="200"/>
      </w:pPr>
      <w:r>
        <w:rPr>
          <w:rFonts w:ascii="Arial" w:cs="Arial" w:eastAsia="Arial" w:hAnsi="Arial"/>
          <w:b/>
          <w:bCs/>
          <w:color w:val="2E75B6"/>
          <w:sz w:val="26"/>
          <w:szCs w:val="26"/>
        </w:rPr>
        <w:t xml:space="preserve">Educación y capital humano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600"/>
        <w:gridCol w:w="1800"/>
        <w:gridCol w:w="2200"/>
        <w:gridCol w:w="1760"/>
      </w:tblGrid>
      <w:tr>
        <w:trPr>
          <w:cantSplit/>
          <w:tblHeader/>
        </w:trPr>
        <w:tc>
          <w:tcPr>
            <w:tcW w:type="dxa" w:w="36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Indicador educativo</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Personas</w:t>
            </w:r>
          </w:p>
        </w:tc>
        <w:tc>
          <w:tcPr>
            <w:tcW w:type="dxa" w:w="22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 la población</w:t>
            </w:r>
          </w:p>
        </w:tc>
        <w:tc>
          <w:tcPr>
            <w:tcW w:type="dxa" w:w="17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Análisis</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de 15+ analfabeta</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173,814</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4.8%</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de 15+ sin escolaridad</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189,421</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5.3%</w:t>
            </w:r>
          </w:p>
        </w:tc>
        <w:tc>
          <w:tcPr>
            <w:tcW w:type="dxa" w:w="1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de 15+ con primaria completa</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430,389</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12.0%</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Alto</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de 15+ con secundaria completa</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640,431</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17.9%</w:t>
            </w:r>
          </w:p>
        </w:tc>
        <w:tc>
          <w:tcPr>
            <w:tcW w:type="dxa" w:w="1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6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Población de 18+ con educación posbásica</w:t>
            </w:r>
          </w:p>
        </w:tc>
        <w:tc>
          <w:tcPr>
            <w:tcW w:type="dxa" w:w="18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868,707</w:t>
            </w:r>
          </w:p>
        </w:tc>
        <w:tc>
          <w:tcPr>
            <w:tcW w:type="dxa" w:w="22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24.2%</w:t>
            </w:r>
          </w:p>
        </w:tc>
        <w:tc>
          <w:tcPr>
            <w:tcW w:type="dxa" w:w="17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Regular</w:t>
            </w:r>
          </w:p>
        </w:tc>
      </w:tr>
      <w:tr>
        <w:trPr>
          <w:cantSplit/>
        </w:trPr>
        <w:tc>
          <w:tcPr>
            <w:tcW w:type="dxa" w:w="36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Grado promedio de escolaridad</w:t>
            </w:r>
          </w:p>
        </w:tc>
        <w:tc>
          <w:tcPr>
            <w:tcW w:type="dxa" w:w="18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7.6</w:t>
            </w:r>
          </w:p>
        </w:tc>
        <w:tc>
          <w:tcPr>
            <w:tcW w:type="dxa" w:w="22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Equivale a secundaria incompleta</w:t>
            </w:r>
          </w:p>
        </w:tc>
        <w:tc>
          <w:tcPr>
            <w:tcW w:type="dxa" w:w="17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Muy bajo</w:t>
            </w:r>
          </w:p>
        </w:tc>
      </w:tr>
    </w:tbl>
    <w:p>
      <w:pPr>
        <w:keepNext/>
        <w:keepLines/>
        <w:spacing w:after="120" w:before="200"/>
      </w:pPr>
      <w:r>
        <w:rPr>
          <w:rFonts w:ascii="Arial" w:cs="Arial" w:eastAsia="Arial" w:hAnsi="Arial"/>
          <w:b/>
          <w:bCs/>
          <w:color w:val="2E75B6"/>
          <w:sz w:val="26"/>
          <w:szCs w:val="26"/>
        </w:rPr>
        <w:t xml:space="preserve">Discapacidad en la región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360"/>
        <w:gridCol w:w="2500"/>
        <w:gridCol w:w="2500"/>
      </w:tblGrid>
      <w:tr>
        <w:trPr>
          <w:cantSplit/>
          <w:tblHeader/>
        </w:trPr>
        <w:tc>
          <w:tcPr>
            <w:tcW w:type="dxa" w:w="43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Tipo de discapacidad</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Personas</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 la población</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Alguna discapacidad (total)</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192,506</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5.4%</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caminar, subir o bajar</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98,238</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ver (aun usando lentes)</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78,664</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2.2%</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hablar o comunicarse</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27,595</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0.8%</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oír (aun con aparato auditivo)</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43,951</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vestirse, bañarse o comer</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36,709</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Para recordar o concentrarse</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35,981</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1.0%</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Con algún problema o condición mental</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42,620</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1.2%</w:t>
            </w:r>
          </w:p>
        </w:tc>
      </w:tr>
    </w:tbl>
    <w:p>
      <w:pPr>
        <w:keepNext/>
        <w:keepLines/>
        <w:spacing w:after="120" w:before="200"/>
      </w:pPr>
      <w:r>
        <w:rPr>
          <w:rFonts w:ascii="Arial" w:cs="Arial" w:eastAsia="Arial" w:hAnsi="Arial"/>
          <w:b/>
          <w:bCs/>
          <w:color w:val="2E75B6"/>
          <w:sz w:val="26"/>
          <w:szCs w:val="26"/>
        </w:rPr>
        <w:t xml:space="preserve">Origen poblacional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360"/>
        <w:gridCol w:w="2500"/>
        <w:gridCol w:w="2500"/>
      </w:tblGrid>
      <w:tr>
        <w:trPr>
          <w:cantSplit/>
          <w:tblHeader/>
        </w:trPr>
        <w:tc>
          <w:tcPr>
            <w:tcW w:type="dxa" w:w="43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Indicador</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Personas</w:t>
            </w:r>
          </w:p>
        </w:tc>
        <w:tc>
          <w:tcPr>
            <w:tcW w:type="dxa" w:w="25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 de la población</w:t>
            </w:r>
          </w:p>
        </w:tc>
      </w:tr>
      <w:tr>
        <w:trPr>
          <w:cantSplit/>
        </w:trPr>
        <w:tc>
          <w:tcPr>
            <w:tcW w:type="dxa" w:w="43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Nacidos en otra entidad federativa</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265,024</w:t>
            </w:r>
          </w:p>
        </w:tc>
        <w:tc>
          <w:tcPr>
            <w:tcW w:type="dxa" w:w="25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7.4%</w:t>
            </w:r>
          </w:p>
        </w:tc>
      </w:tr>
      <w:tr>
        <w:trPr>
          <w:cantSplit/>
        </w:trPr>
        <w:tc>
          <w:tcPr>
            <w:tcW w:type="dxa" w:w="43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Hablan alguna lengua indígena (3 años y más)</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86,173</w:t>
            </w:r>
          </w:p>
        </w:tc>
        <w:tc>
          <w:tcPr>
            <w:tcW w:type="dxa" w:w="25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center"/>
            </w:pPr>
            <w:r>
              <w:rPr>
                <w:rFonts w:ascii="Arial" w:cs="Arial" w:eastAsia="Arial" w:hAnsi="Arial"/>
                <w:b w:val="false"/>
                <w:bCs w:val="false"/>
                <w:i w:val="false"/>
                <w:iCs w:val="false"/>
                <w:color w:val="404040"/>
                <w:sz w:val="19"/>
                <w:szCs w:val="19"/>
              </w:rPr>
              <w:t xml:space="preserve">2.4%</w:t>
            </w:r>
          </w:p>
        </w:tc>
      </w:tr>
    </w:tbl>
    <w:p>
      <w:pPr>
        <w:keepNext/>
        <w:keepLines/>
        <w:spacing w:after="120" w:before="200"/>
      </w:pPr>
      <w:r>
        <w:rPr>
          <w:rFonts w:ascii="Arial" w:cs="Arial" w:eastAsia="Arial" w:hAnsi="Arial"/>
          <w:b/>
          <w:bCs/>
          <w:color w:val="2E75B6"/>
          <w:sz w:val="26"/>
          <w:szCs w:val="26"/>
        </w:rPr>
        <w:t xml:space="preserve">Insights sociales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01</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ACCESIBILIDAD COMO VENTAJA COMPETITIVA</w:t>
            </w:r>
          </w:p>
          <w:p>
            <w:pPr>
              <w:jc w:val="both"/>
            </w:pPr>
            <w:r>
              <w:rPr>
                <w:rFonts w:ascii="Arial" w:cs="Arial" w:eastAsia="Arial" w:hAnsi="Arial"/>
                <w:color w:val="333333"/>
                <w:sz w:val="19"/>
                <w:szCs w:val="19"/>
              </w:rPr>
              <w:t xml:space="preserve">192,506 personas con alguna discapacidad (5.4% del área, calificación alta) y 98,238 con dificultad para caminar, subir o bajar. Una rampa y un baño accesible no son trámite: son un segmento que hoy nadie atiende bien.</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02</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LA CAPACITACIÓN TÉCNICA ES LA BRECHA</w:t>
            </w:r>
          </w:p>
          <w:p>
            <w:pPr>
              <w:jc w:val="both"/>
            </w:pPr>
            <w:r>
              <w:rPr>
                <w:rFonts w:ascii="Arial" w:cs="Arial" w:eastAsia="Arial" w:hAnsi="Arial"/>
                <w:color w:val="333333"/>
                <w:sz w:val="19"/>
                <w:szCs w:val="19"/>
              </w:rPr>
              <w:t xml:space="preserve">Grado promedio de escolaridad de 7.6 años (calificación muy bajo) con 24.2% en educación posbásica. Cualquier operación debe presupuestar formación interna, y la capacitación misma es un giro con demanda propia.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FFFFFF" w:sz="2"/>
              <w:left w:val="single" w:color="FFFFFF" w:sz="2"/>
              <w:bottom w:val="single" w:color="FFFFFF" w:sz="2"/>
              <w:right w:val="single" w:color="FFFFFF" w:sz="2"/>
            </w:tcBorders>
            <w:shd w:fill="0D2F55"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26"/>
                <w:szCs w:val="26"/>
              </w:rPr>
              <w:t xml:space="preserve">03</w:t>
            </w:r>
          </w:p>
        </w:tc>
        <w:tc>
          <w:tcPr>
            <w:tcW w:type="dxa" w:w="8660"/>
            <w:tcBorders>
              <w:top w:val="single" w:color="FFFFFF" w:sz="2"/>
              <w:left w:val="single" w:color="FFFFFF" w:sz="2"/>
              <w:bottom w:val="single" w:color="FFFFFF" w:sz="2"/>
              <w:right w:val="single" w:color="FFFFFF" w:sz="2"/>
            </w:tcBorders>
            <w:shd w:fill="D5E8F0" w:val="clear"/>
            <w:tcMar>
              <w:top w:type="dxa" w:w="100"/>
              <w:left w:type="dxa" w:w="140"/>
              <w:bottom w:type="dxa" w:w="100"/>
              <w:right w:type="dxa" w:w="140"/>
            </w:tcMar>
            <w:vAlign w:val="center"/>
          </w:tcPr>
          <w:p>
            <w:pPr>
              <w:spacing w:after="60"/>
            </w:pPr>
            <w:r>
              <w:rPr>
                <w:rFonts w:ascii="Arial" w:cs="Arial" w:eastAsia="Arial" w:hAnsi="Arial"/>
                <w:b/>
                <w:bCs/>
                <w:color w:val="1B4F8A"/>
                <w:sz w:val="20"/>
                <w:szCs w:val="20"/>
              </w:rPr>
              <w:t xml:space="preserve">MERCADO LOCAL Y ARRAIGADO</w:t>
            </w:r>
          </w:p>
          <w:p>
            <w:pPr>
              <w:jc w:val="both"/>
            </w:pPr>
            <w:r>
              <w:rPr>
                <w:rFonts w:ascii="Arial" w:cs="Arial" w:eastAsia="Arial" w:hAnsi="Arial"/>
                <w:color w:val="333333"/>
                <w:sz w:val="19"/>
                <w:szCs w:val="19"/>
              </w:rPr>
              <w:t xml:space="preserve">Solo 7.4% de la población nació en otra entidad (calificación bajo) y 2.4% habla alguna lengua indígena (calificación alta): un mercado de relación y recomendación de boca en boca, no de rotación de paso.</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contexto social completo, llegamos al cierre: las conclusiones accionables, el semáforo de oportunidades y los próximos pasos para convertir este análisis en una decisión de inversión fundamentada.</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10  ·  CONCLUSIONES Y SIGUIENTES PASOS</w:t>
      </w:r>
    </w:p>
    <w:p>
      <w:pPr>
        <w:keepNext/>
        <w:keepLines/>
        <w:spacing w:after="120" w:before="200"/>
      </w:pPr>
      <w:r>
        <w:rPr>
          <w:rFonts w:ascii="Arial" w:cs="Arial" w:eastAsia="Arial" w:hAnsi="Arial"/>
          <w:b/>
          <w:bCs/>
          <w:color w:val="2E75B6"/>
          <w:sz w:val="26"/>
          <w:szCs w:val="26"/>
        </w:rPr>
        <w:t xml:space="preserve">La región en 3 datos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120"/>
        <w:gridCol w:w="3120"/>
        <w:gridCol w:w="3120"/>
      </w:tblGrid>
      <w:tr>
        <w:trPr>
          <w:cantSplit/>
        </w:trPr>
        <w:tc>
          <w:tcPr>
            <w:tcW w:type="dxa" w:w="3120"/>
            <w:tcBorders>
              <w:top w:val="single" w:color="FFFFFF" w:sz="2"/>
              <w:left w:val="single" w:color="FFFFFF" w:sz="2"/>
              <w:bottom w:val="single" w:color="FFFFFF" w:sz="2"/>
              <w:right w:val="single" w:color="FFFFFF" w:sz="2"/>
            </w:tcBorders>
            <w:shd w:fill="0D2F55"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3,584,675</w:t>
            </w:r>
          </w:p>
          <w:p>
            <w:pPr>
              <w:jc w:val="center"/>
            </w:pPr>
            <w:r>
              <w:rPr>
                <w:rFonts w:ascii="Arial" w:cs="Arial" w:eastAsia="Arial" w:hAnsi="Arial"/>
                <w:color w:val="D5E8F0"/>
                <w:sz w:val="18"/>
                <w:szCs w:val="18"/>
              </w:rPr>
              <w:t xml:space="preserve">habitantes en 78 municipios en un radio de 100 km desde Morelia, NSE dominante D, E y NA con un bolsillo C y C– de más de un millón de personas</w:t>
            </w:r>
          </w:p>
        </w:tc>
        <w:tc>
          <w:tcPr>
            <w:tcW w:type="dxa" w:w="3120"/>
            <w:tcBorders>
              <w:top w:val="single" w:color="FFFFFF" w:sz="2"/>
              <w:left w:val="single" w:color="FFFFFF" w:sz="2"/>
              <w:bottom w:val="single" w:color="FFFFFF" w:sz="2"/>
              <w:right w:val="single" w:color="FFFFFF" w:sz="2"/>
            </w:tcBorders>
            <w:shd w:fill="2E75B6"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Mercado maduro en lo básico, vacío en ocio</w:t>
            </w:r>
          </w:p>
          <w:p>
            <w:pPr>
              <w:jc w:val="center"/>
            </w:pPr>
            <w:r>
              <w:rPr>
                <w:rFonts w:ascii="Arial" w:cs="Arial" w:eastAsia="Arial" w:hAnsi="Arial"/>
                <w:color w:val="EAF4FB"/>
                <w:sz w:val="18"/>
                <w:szCs w:val="18"/>
              </w:rPr>
              <w:t xml:space="preserve">3,025 sucursales formales, una por cada 1,185 habitantes: conveniencia y farmacia saturadas, alitas y hamburguesas casi ausentes</w:t>
            </w:r>
          </w:p>
        </w:tc>
        <w:tc>
          <w:tcPr>
            <w:tcW w:type="dxa" w:w="3120"/>
            <w:tcBorders>
              <w:top w:val="single" w:color="FFFFFF" w:sz="2"/>
              <w:left w:val="single" w:color="FFFFFF" w:sz="2"/>
              <w:bottom w:val="single" w:color="FFFFFF" w:sz="2"/>
              <w:right w:val="single" w:color="FFFFFF" w:sz="2"/>
            </w:tcBorders>
            <w:shd w:fill="3E7D4E"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37.4% del aguacate nacional</w:t>
            </w:r>
          </w:p>
          <w:p>
            <w:pPr>
              <w:jc w:val="center"/>
            </w:pPr>
            <w:r>
              <w:rPr>
                <w:rFonts w:ascii="Arial" w:cs="Arial" w:eastAsia="Arial" w:hAnsi="Arial"/>
                <w:color w:val="EAF7EA"/>
                <w:sz w:val="18"/>
                <w:szCs w:val="18"/>
              </w:rPr>
              <w:t xml:space="preserve">el área es el mayor productor del país en este cultivo (decil 10), con fresa, sorgo, trigo y maíz también en decil 10</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Las mejores apuestas — Semáforo de oportunidades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000"/>
        <w:gridCol w:w="1800"/>
        <w:gridCol w:w="3560"/>
      </w:tblGrid>
      <w:tr>
        <w:trPr>
          <w:cantSplit/>
          <w:tblHeader/>
        </w:trPr>
        <w:tc>
          <w:tcPr>
            <w:tcW w:type="dxa" w:w="40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Giro recomendado</w:t>
            </w:r>
          </w:p>
        </w:tc>
        <w:tc>
          <w:tcPr>
            <w:tcW w:type="dxa" w:w="180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Oportunidad</w:t>
            </w:r>
          </w:p>
        </w:tc>
        <w:tc>
          <w:tcPr>
            <w:tcW w:type="dxa" w:w="3560"/>
            <w:tcBorders>
              <w:top w:val="single" w:color="FFFFFF" w:sz="2"/>
              <w:left w:val="single" w:color="FFFFFF" w:sz="2"/>
              <w:bottom w:val="single" w:color="FFFFFF" w:sz="2"/>
              <w:right w:val="single" w:color="FFFFFF" w:sz="2"/>
            </w:tcBorders>
            <w:shd w:fill="1B4F8A" w:val="clear"/>
            <w:tcMar>
              <w:top w:type="dxa" w:w="100"/>
              <w:left w:type="dxa" w:w="140"/>
              <w:bottom w:type="dxa" w:w="100"/>
              <w:right w:type="dxa" w:w="140"/>
            </w:tcMar>
            <w:vAlign w:val="center"/>
          </w:tcPr>
          <w:p>
            <w:pPr>
              <w:jc w:val="center"/>
            </w:pPr>
            <w:r>
              <w:rPr>
                <w:rFonts w:ascii="Arial" w:cs="Arial" w:eastAsia="Arial" w:hAnsi="Arial"/>
                <w:b/>
                <w:bCs/>
                <w:i w:val="false"/>
                <w:iCs w:val="false"/>
                <w:color w:val="FFFFFF"/>
                <w:sz w:val="19"/>
                <w:szCs w:val="19"/>
              </w:rPr>
              <w:t xml:space="preserve">Competencia</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Empaque y cadena de frío para aguacate y fresa de exportación</w:t>
            </w:r>
          </w:p>
        </w:tc>
        <w:tc>
          <w:tcPr>
            <w:tcW w:type="dxa" w:w="1800"/>
            <w:tcBorders>
              <w:top w:val="single" w:color="FFFFFF" w:sz="2"/>
              <w:left w:val="single" w:color="FFFFFF" w:sz="2"/>
              <w:bottom w:val="single" w:color="FFFFFF" w:sz="2"/>
              <w:right w:val="single" w:color="FFFFFF" w:sz="2"/>
            </w:tcBorders>
            <w:shd w:fill="D9EAD3" w:val="clear"/>
            <w:tcMar>
              <w:top w:type="dxa" w:w="100"/>
              <w:left w:type="dxa" w:w="140"/>
              <w:bottom w:type="dxa" w:w="100"/>
              <w:right w:type="dxa" w:w="140"/>
            </w:tcMar>
            <w:vAlign w:val="center"/>
          </w:tcPr>
          <w:p>
            <w:pPr>
              <w:jc w:val="center"/>
            </w:pPr>
            <w:r>
              <w:rPr>
                <w:rFonts w:ascii="Arial" w:cs="Arial" w:eastAsia="Arial" w:hAnsi="Arial"/>
                <w:b/>
                <w:bCs/>
                <w:i w:val="false"/>
                <w:iCs w:val="false"/>
                <w:color w:val="276221"/>
                <w:sz w:val="19"/>
                <w:szCs w:val="19"/>
              </w:rPr>
              <w:t xml:space="preserve">ALTA</w:t>
            </w:r>
          </w:p>
        </w:tc>
        <w:tc>
          <w:tcPr>
            <w:tcW w:type="dxa" w:w="3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BAJA</w:t>
            </w:r>
          </w:p>
        </w:tc>
      </w:tr>
      <w:tr>
        <w:trPr>
          <w:cantSplit/>
        </w:trPr>
        <w:tc>
          <w:tcPr>
            <w:tcW w:type="dxa" w:w="4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Agroindustria de valor agregado de aguacate</w:t>
            </w:r>
          </w:p>
        </w:tc>
        <w:tc>
          <w:tcPr>
            <w:tcW w:type="dxa" w:w="1800"/>
            <w:tcBorders>
              <w:top w:val="single" w:color="FFFFFF" w:sz="2"/>
              <w:left w:val="single" w:color="FFFFFF" w:sz="2"/>
              <w:bottom w:val="single" w:color="FFFFFF" w:sz="2"/>
              <w:right w:val="single" w:color="FFFFFF" w:sz="2"/>
            </w:tcBorders>
            <w:shd w:fill="D9EAD3" w:val="clear"/>
            <w:tcMar>
              <w:top w:type="dxa" w:w="100"/>
              <w:left w:type="dxa" w:w="140"/>
              <w:bottom w:type="dxa" w:w="100"/>
              <w:right w:type="dxa" w:w="140"/>
            </w:tcMar>
            <w:vAlign w:val="center"/>
          </w:tcPr>
          <w:p>
            <w:pPr>
              <w:jc w:val="center"/>
            </w:pPr>
            <w:r>
              <w:rPr>
                <w:rFonts w:ascii="Arial" w:cs="Arial" w:eastAsia="Arial" w:hAnsi="Arial"/>
                <w:b/>
                <w:bCs/>
                <w:i w:val="false"/>
                <w:iCs w:val="false"/>
                <w:color w:val="276221"/>
                <w:sz w:val="19"/>
                <w:szCs w:val="19"/>
              </w:rPr>
              <w:t xml:space="preserve">ALTA</w:t>
            </w:r>
          </w:p>
        </w:tc>
        <w:tc>
          <w:tcPr>
            <w:tcW w:type="dxa" w:w="3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BAJA</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Restaurante o cafetería techada con espacio de confort térmico</w:t>
            </w:r>
          </w:p>
        </w:tc>
        <w:tc>
          <w:tcPr>
            <w:tcW w:type="dxa" w:w="1800"/>
            <w:tcBorders>
              <w:top w:val="single" w:color="FFFFFF" w:sz="2"/>
              <w:left w:val="single" w:color="FFFFFF" w:sz="2"/>
              <w:bottom w:val="single" w:color="FFFFFF" w:sz="2"/>
              <w:right w:val="single" w:color="FFFFFF" w:sz="2"/>
            </w:tcBorders>
            <w:shd w:fill="D9EAD3" w:val="clear"/>
            <w:tcMar>
              <w:top w:type="dxa" w:w="100"/>
              <w:left w:type="dxa" w:w="140"/>
              <w:bottom w:type="dxa" w:w="100"/>
              <w:right w:type="dxa" w:w="140"/>
            </w:tcMar>
            <w:vAlign w:val="center"/>
          </w:tcPr>
          <w:p>
            <w:pPr>
              <w:jc w:val="center"/>
            </w:pPr>
            <w:r>
              <w:rPr>
                <w:rFonts w:ascii="Arial" w:cs="Arial" w:eastAsia="Arial" w:hAnsi="Arial"/>
                <w:b/>
                <w:bCs/>
                <w:i w:val="false"/>
                <w:iCs w:val="false"/>
                <w:color w:val="276221"/>
                <w:sz w:val="19"/>
                <w:szCs w:val="19"/>
              </w:rPr>
              <w:t xml:space="preserve">ALTA</w:t>
            </w:r>
          </w:p>
        </w:tc>
        <w:tc>
          <w:tcPr>
            <w:tcW w:type="dxa" w:w="3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BAJA</w:t>
            </w:r>
          </w:p>
        </w:tc>
      </w:tr>
      <w:tr>
        <w:trPr>
          <w:cantSplit/>
        </w:trPr>
        <w:tc>
          <w:tcPr>
            <w:tcW w:type="dxa" w:w="400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Servicio y refacciones para motocicleta</w:t>
            </w:r>
          </w:p>
        </w:tc>
        <w:tc>
          <w:tcPr>
            <w:tcW w:type="dxa" w:w="1800"/>
            <w:tcBorders>
              <w:top w:val="single" w:color="FFFFFF" w:sz="2"/>
              <w:left w:val="single" w:color="FFFFFF" w:sz="2"/>
              <w:bottom w:val="single" w:color="FFFFFF" w:sz="2"/>
              <w:right w:val="single" w:color="FFFFFF" w:sz="2"/>
            </w:tcBorders>
            <w:shd w:fill="FFF2CC" w:val="clear"/>
            <w:tcMar>
              <w:top w:type="dxa" w:w="100"/>
              <w:left w:type="dxa" w:w="140"/>
              <w:bottom w:type="dxa" w:w="100"/>
              <w:right w:type="dxa" w:w="140"/>
            </w:tcMar>
            <w:vAlign w:val="center"/>
          </w:tcPr>
          <w:p>
            <w:pPr>
              <w:jc w:val="center"/>
            </w:pPr>
            <w:r>
              <w:rPr>
                <w:rFonts w:ascii="Arial" w:cs="Arial" w:eastAsia="Arial" w:hAnsi="Arial"/>
                <w:b/>
                <w:bCs/>
                <w:i w:val="false"/>
                <w:iCs w:val="false"/>
                <w:color w:val="7D6808"/>
                <w:sz w:val="19"/>
                <w:szCs w:val="19"/>
              </w:rPr>
              <w:t xml:space="preserve">MEDIA</w:t>
            </w:r>
          </w:p>
        </w:tc>
        <w:tc>
          <w:tcPr>
            <w:tcW w:type="dxa" w:w="3560"/>
            <w:tcBorders>
              <w:top w:val="single" w:color="FFFFFF" w:sz="2"/>
              <w:left w:val="single" w:color="FFFFFF" w:sz="2"/>
              <w:bottom w:val="single" w:color="FFFFFF" w:sz="2"/>
              <w:right w:val="single" w:color="FFFFFF" w:sz="2"/>
            </w:tcBorders>
            <w:shd w:fill="F5F8FC"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w:t>
            </w:r>
          </w:p>
        </w:tc>
      </w:tr>
      <w:tr>
        <w:trPr>
          <w:cantSplit/>
        </w:trPr>
        <w:tc>
          <w:tcPr>
            <w:tcW w:type="dxa" w:w="400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Seguridad privada y monitoreo para comercio</w:t>
            </w:r>
          </w:p>
        </w:tc>
        <w:tc>
          <w:tcPr>
            <w:tcW w:type="dxa" w:w="1800"/>
            <w:tcBorders>
              <w:top w:val="single" w:color="FFFFFF" w:sz="2"/>
              <w:left w:val="single" w:color="FFFFFF" w:sz="2"/>
              <w:bottom w:val="single" w:color="FFFFFF" w:sz="2"/>
              <w:right w:val="single" w:color="FFFFFF" w:sz="2"/>
            </w:tcBorders>
            <w:shd w:fill="FFF2CC" w:val="clear"/>
            <w:tcMar>
              <w:top w:type="dxa" w:w="100"/>
              <w:left w:type="dxa" w:w="140"/>
              <w:bottom w:type="dxa" w:w="100"/>
              <w:right w:type="dxa" w:w="140"/>
            </w:tcMar>
            <w:vAlign w:val="center"/>
          </w:tcPr>
          <w:p>
            <w:pPr>
              <w:jc w:val="center"/>
            </w:pPr>
            <w:r>
              <w:rPr>
                <w:rFonts w:ascii="Arial" w:cs="Arial" w:eastAsia="Arial" w:hAnsi="Arial"/>
                <w:b/>
                <w:bCs/>
                <w:i w:val="false"/>
                <w:iCs w:val="false"/>
                <w:color w:val="7D6808"/>
                <w:sz w:val="19"/>
                <w:szCs w:val="19"/>
              </w:rPr>
              <w:t xml:space="preserve">MEDIA</w:t>
            </w:r>
          </w:p>
        </w:tc>
        <w:tc>
          <w:tcPr>
            <w:tcW w:type="dxa" w:w="3560"/>
            <w:tcBorders>
              <w:top w:val="single" w:color="FFFFFF" w:sz="2"/>
              <w:left w:val="single" w:color="FFFFFF" w:sz="2"/>
              <w:bottom w:val="single" w:color="FFFFFF" w:sz="2"/>
              <w:right w:val="single" w:color="FFFFFF" w:sz="2"/>
            </w:tcBorders>
            <w:shd w:fill="FFFFFF" w:val="clear"/>
            <w:tcMar>
              <w:top w:type="dxa" w:w="100"/>
              <w:left w:type="dxa" w:w="140"/>
              <w:bottom w:type="dxa" w:w="100"/>
              <w:right w:type="dxa" w:w="140"/>
            </w:tcMar>
            <w:vAlign w:val="center"/>
          </w:tcPr>
          <w:p>
            <w:pPr>
              <w:jc w:val="left"/>
            </w:pPr>
            <w:r>
              <w:rPr>
                <w:rFonts w:ascii="Arial" w:cs="Arial" w:eastAsia="Arial" w:hAnsi="Arial"/>
                <w:b w:val="false"/>
                <w:bCs w:val="false"/>
                <w:i w:val="false"/>
                <w:iCs w:val="false"/>
                <w:color w:val="404040"/>
                <w:sz w:val="19"/>
                <w:szCs w:val="19"/>
              </w:rPr>
              <w:t xml:space="preserve">MEDIA</w:t>
            </w:r>
          </w:p>
        </w:tc>
      </w:tr>
    </w:tbl>
    <w:p>
      <w:pPr>
        <w:spacing w:after="160" w:before="60"/>
        <w:jc w:val="both"/>
      </w:pPr>
      <w:r>
        <w:rPr>
          <w:rFonts w:ascii="Arial" w:cs="Arial" w:eastAsia="Arial" w:hAnsi="Arial"/>
          <w:i/>
          <w:iCs/>
          <w:color w:val="555555"/>
          <w:sz w:val="17"/>
          <w:szCs w:val="17"/>
        </w:rPr>
        <w:t xml:space="preserve">ALTA oportunidad (demanda estructural + NSE alineado + baja competencia formal).   MEDIA oportunidad (demanda real pero con mayor competencia formal).</w:t>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Los 2 riesgos que no puedes ignorar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680"/>
        <w:gridCol w:w="4680"/>
      </w:tblGrid>
      <w:tr>
        <w:trPr>
          <w:cantSplit/>
        </w:trPr>
        <w:tc>
          <w:tcPr>
            <w:tcW w:type="dxa" w:w="4680"/>
            <w:tcBorders>
              <w:top w:val="single" w:color="FFFFFF" w:sz="2"/>
              <w:left w:val="single" w:color="FFFFFF" w:sz="2"/>
              <w:bottom w:val="single" w:color="FFFFFF" w:sz="2"/>
              <w:right w:val="single" w:color="FFFFFF" w:sz="2"/>
            </w:tcBorders>
            <w:shd w:fill="FCE4D6" w:val="clear"/>
            <w:tcMar>
              <w:top w:type="dxa" w:w="160"/>
              <w:left w:type="dxa" w:w="180"/>
              <w:bottom w:type="dxa" w:w="160"/>
              <w:right w:type="dxa" w:w="180"/>
            </w:tcMar>
          </w:tcPr>
          <w:p>
            <w:pPr>
              <w:spacing w:after="80"/>
            </w:pPr>
            <w:r>
              <w:rPr>
                <w:rFonts w:ascii="Arial" w:cs="Arial" w:eastAsia="Arial" w:hAnsi="Arial"/>
                <w:b/>
                <w:bCs/>
                <w:color w:val="A00000"/>
                <w:sz w:val="20"/>
                <w:szCs w:val="20"/>
              </w:rPr>
              <w:t xml:space="preserve">Riesgo 1 — El entorno, no el mostrador, es el costo de seguridad</w:t>
            </w:r>
          </w:p>
          <w:p>
            <w:pPr>
              <w:jc w:val="both"/>
            </w:pPr>
            <w:r>
              <w:rPr>
                <w:rFonts w:ascii="Arial" w:cs="Arial" w:eastAsia="Arial" w:hAnsi="Arial"/>
                <w:i/>
                <w:iCs/>
                <w:color w:val="5A3030"/>
                <w:sz w:val="19"/>
                <w:szCs w:val="19"/>
              </w:rPr>
              <w:t xml:space="preserve">Lesiones dolosas, otros robos y otros bienes públicos afectados registran decil 9 con calificación muy alto, mientras que el robo a negocio en sí es apenas regular (decil 5). El costo de operar aquí no viene de un asalto directo al negocio, sino de vigilancia, iluminación y protocolos frente a un entorno general más inseguro que el promedio nacional.</w:t>
            </w:r>
          </w:p>
        </w:tc>
        <w:tc>
          <w:tcPr>
            <w:tcW w:type="dxa" w:w="4680"/>
            <w:tcBorders>
              <w:top w:val="single" w:color="FFFFFF" w:sz="2"/>
              <w:left w:val="single" w:color="FFFFFF" w:sz="2"/>
              <w:bottom w:val="single" w:color="FFFFFF" w:sz="2"/>
              <w:right w:val="single" w:color="FFFFFF" w:sz="2"/>
            </w:tcBorders>
            <w:shd w:fill="FFF2CC" w:val="clear"/>
            <w:tcMar>
              <w:top w:type="dxa" w:w="160"/>
              <w:left w:type="dxa" w:w="180"/>
              <w:bottom w:type="dxa" w:w="160"/>
              <w:right w:type="dxa" w:w="180"/>
            </w:tcMar>
          </w:tcPr>
          <w:p>
            <w:pPr>
              <w:spacing w:after="80"/>
            </w:pPr>
            <w:r>
              <w:rPr>
                <w:rFonts w:ascii="Arial" w:cs="Arial" w:eastAsia="Arial" w:hAnsi="Arial"/>
                <w:b/>
                <w:bCs/>
                <w:color w:val="7D6808"/>
                <w:sz w:val="20"/>
                <w:szCs w:val="20"/>
              </w:rPr>
              <w:t xml:space="preserve">Riesgo 2 — Dos cultivos sostienen buena parte del motor económico</w:t>
            </w:r>
          </w:p>
          <w:p>
            <w:pPr>
              <w:jc w:val="both"/>
            </w:pPr>
            <w:r>
              <w:rPr>
                <w:rFonts w:ascii="Arial" w:cs="Arial" w:eastAsia="Arial" w:hAnsi="Arial"/>
                <w:i/>
                <w:iCs/>
                <w:color w:val="5F5320"/>
                <w:sz w:val="19"/>
                <w:szCs w:val="19"/>
              </w:rPr>
              <w:t xml:space="preserve">El área concentra 37.4% del aguacate nacional y 21.6% de la fresa, ambos en decil 10. Una temporada adversa por helada, sequía o plaga en cualquiera de los dos no solo golpea al campo: contrae el consumo de la región completa, incluidos los giros urbanos que parecen ajenos al ciclo agrícola.</w:t>
            </w:r>
          </w:p>
        </w:tc>
      </w:tr>
    </w:tbl>
    <w:p>
      <w:pPr>
        <w:spacing w:after="40"/>
      </w:pPr>
      <w:r>
        <w:rPr>
          <w:sz w:val="8"/>
          <w:szCs w:val="8"/>
        </w:rPr>
        <w:t xml:space="preserve"/>
      </w:r>
    </w:p>
    <w:p>
      <w:r>
        <w:br w:type="pag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0D2F55" w:val="clear"/>
            <w:tcMar>
              <w:top w:type="dxa" w:w="240"/>
              <w:left w:type="dxa" w:w="280"/>
              <w:bottom w:type="dxa" w:w="240"/>
              <w:right w:type="dxa" w:w="280"/>
            </w:tcMar>
          </w:tcPr>
          <w:p>
            <w:pPr>
              <w:spacing w:after="160"/>
            </w:pPr>
            <w:r>
              <w:rPr>
                <w:rFonts w:ascii="Arial" w:cs="Arial" w:eastAsia="Arial" w:hAnsi="Arial"/>
                <w:b/>
                <w:bCs/>
                <w:color w:val="FFFFFF"/>
                <w:sz w:val="26"/>
                <w:szCs w:val="26"/>
              </w:rPr>
              <w:t xml:space="preserve">Carta al Inversionista</w:t>
            </w:r>
          </w:p>
          <w:p>
            <w:pPr>
              <w:spacing w:after="140"/>
              <w:jc w:val="both"/>
            </w:pPr>
            <w:r>
              <w:rPr>
                <w:rFonts w:ascii="Arial" w:cs="Arial" w:eastAsia="Arial" w:hAnsi="Arial"/>
                <w:i/>
                <w:iCs/>
                <w:color w:val="D5E8F0"/>
                <w:sz w:val="19"/>
                <w:szCs w:val="19"/>
              </w:rPr>
              <w:t xml:space="preserve">Encontramos una región cuyo mayor riesgo no está en el mostrador, sino en el entorno: el índice de inseguridad general de la zona es alto, y cualquier operación debe presupuestar vigilancia e iluminación desde el primer mes, no descubrirlo en el sexto. Dicho esto, el negocio específico de robo a comercio es apenas regular, así que ese costo es manejable con las medidas correctas, no una barrera de entrada.</w:t>
            </w:r>
          </w:p>
          <w:p>
            <w:pPr>
              <w:spacing w:after="160"/>
              <w:jc w:val="both"/>
            </w:pPr>
            <w:r>
              <w:rPr>
                <w:rFonts w:ascii="Arial" w:cs="Arial" w:eastAsia="Arial" w:hAnsi="Arial"/>
                <w:color w:val="EAF4FB"/>
                <w:sz w:val="19"/>
                <w:szCs w:val="19"/>
              </w:rPr>
              <w:t xml:space="preserve">La oportunidad central es agrícola pero se resuelve con logística: el área produce más de un tercio del aguacate de México y una quinta parte de la fresa, y hoy buena parte de ese valor sale sin transformarse. Quien resuelva el empaque, el frío y el procesamiento captura margen que hoy nadie retiene en la región. En paralelo, el mercado formal urbano está saturado en lo básico —conveniencia, farmacia— pero casi vacío en ocio y retail especializado: ahí hay espacio sin pelear por precio.</w:t>
            </w:r>
          </w:p>
          <w:p>
            <w:r>
              <w:rPr>
                <w:rFonts w:ascii="Arial" w:cs="Arial" w:eastAsia="Arial" w:hAnsi="Arial"/>
                <w:b/>
                <w:bCs/>
                <w:color w:val="7FC3E8"/>
                <w:sz w:val="22"/>
                <w:szCs w:val="22"/>
              </w:rPr>
              <w:t xml:space="preserve">El campo ya demostró que puede ser el mejor del país. Ahora toca decidir quién se queda con el valor que hoy se va sin transformar.</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Recomendaciones para estudio más profundo</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Análisis comparativo con MktCompass: replicar este análisis en múltiples municipios de la misma región para identificar cuál tiene el mejor balance de demanda y menor competencia directa para el giro seleccionado.</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Encuestas de hábitos de consumo en la zona: validar con consumidores reales qué compran, dónde, con qué frecuencia y qué les falta en la oferta actual.</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Visitas a la competencia como mystery shopper: evaluar calidad, precio, servicio y afluencia de los negocios existentes en los giros de interés.</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Entrevistas a productores agropecuarios sobre necesidades de insumos, servicios y canales de comercialización.</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Análisis de vialidades y tiempos de traslado entre municipios de la región para estimar el radio real de atracción de clientes.</w:t>
      </w:r>
    </w:p>
    <w:p>
      <w:pPr>
        <w:pStyle w:val="ListParagraph"/>
        <w:numPr>
          <w:ilvl w:val="0"/>
          <w:numId w:val="2"/>
        </w:numPr>
        <w:spacing w:after="60"/>
        <w:jc w:val="both"/>
      </w:pPr>
      <w:r>
        <w:rPr>
          <w:rFonts w:ascii="Arial" w:cs="Arial" w:eastAsia="Arial" w:hAnsi="Arial"/>
          <w:b w:val="false"/>
          <w:bCs w:val="false"/>
          <w:i w:val="false"/>
          <w:iCs w:val="false"/>
          <w:color w:val="404040"/>
          <w:sz w:val="22"/>
          <w:szCs w:val="22"/>
        </w:rPr>
        <w:t xml:space="preserve">Aforos vehiculares en intersecciones de interés para estimar el tráfico real en distintos horarios y días de la semana.</w:t>
      </w:r>
    </w:p>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FFFFFF" w:sz="2"/>
              <w:left w:val="single" w:color="FFFFFF" w:sz="2"/>
              <w:bottom w:val="single" w:color="FFFFFF" w:sz="2"/>
              <w:right w:val="single" w:color="FFFFFF" w:sz="2"/>
            </w:tcBorders>
            <w:shd w:fill="F5F8FC" w:val="clear"/>
            <w:tcMar>
              <w:top w:type="dxa" w:w="140"/>
              <w:left w:type="dxa" w:w="200"/>
              <w:bottom w:type="dxa" w:w="140"/>
              <w:right w:type="dxa" w:w="200"/>
            </w:tcMar>
          </w:tcPr>
          <w:p>
            <w:pPr>
              <w:spacing w:after="120"/>
              <w:jc w:val="both"/>
            </w:pPr>
            <w:r>
              <w:rPr>
                <w:rFonts w:ascii="Arial" w:cs="Arial" w:eastAsia="Arial" w:hAnsi="Arial"/>
                <w:b/>
                <w:bCs/>
                <w:color w:val="666666"/>
                <w:sz w:val="20"/>
                <w:szCs w:val="20"/>
              </w:rPr>
              <w:t xml:space="preserve">AVISO LEGAL</w:t>
            </w:r>
          </w:p>
          <w:p>
            <w:pPr>
              <w:spacing w:after="0"/>
              <w:jc w:val="both"/>
            </w:pPr>
            <w:r>
              <w:rPr>
                <w:rFonts w:ascii="Arial" w:cs="Arial" w:eastAsia="Arial" w:hAnsi="Arial"/>
                <w:b w:val="false"/>
                <w:bCs w:val="false"/>
                <w:color w:val="666666"/>
                <w:sz w:val="20"/>
                <w:szCs w:val="20"/>
              </w:rPr>
              <w:t xml:space="preserve">Los datos presentados provienen de censos y registros oficiales con fechas específicas (2020–2025) y pueden no reflejar cambios ocurridos desde entonces. Este reporte no incluye datos de gasto del hogar (ENIGH) ni análisis de brecha oferta-demanda por giro, los cuales no están disponibles a escala municipal. Las oportunidades identificadas son indicativas y deben validarse con investigación de campo antes de tomar cualquier decisión de inversión. MktCompass no garantiza resultados comerciales.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0"/>
        <w:gridCol w:w="2360"/>
      </w:tblGrid>
      <w:tr>
        <w:trPr>
          <w:cantSplit/>
        </w:trPr>
        <w:tc>
          <w:tcPr>
            <w:tcW w:type="dxa" w:w="7000"/>
            <w:tcBorders>
              <w:top w:val="none" w:color="FFFFFF" w:sz="0"/>
              <w:left w:val="none" w:color="FFFFFF" w:sz="0"/>
              <w:bottom w:val="none" w:color="FFFFFF" w:sz="0"/>
              <w:right w:val="none" w:color="FFFFFF" w:sz="0"/>
            </w:tcBorders>
            <w:shd w:fill="FFFFFF" w:val="clear"/>
            <w:tcMar>
              <w:top w:type="dxa" w:w="100"/>
              <w:left w:type="dxa" w:w="140"/>
              <w:bottom w:type="dxa" w:w="100"/>
              <w:right w:type="dxa" w:w="140"/>
            </w:tcMar>
            <w:vAlign w:val="center"/>
          </w:tcPr>
          <w:p>
            <w:pPr>
              <w:jc w:val="left"/>
            </w:pPr>
            <w:r>
              <w:rPr>
                <w:rFonts w:ascii="Arial" w:cs="Arial" w:eastAsia="Arial" w:hAnsi="Arial"/>
                <w:color w:val="888888"/>
                <w:sz w:val="17"/>
                <w:szCs w:val="17"/>
              </w:rPr>
              <w:t xml:space="preserve">Geoanálisis Municipal  ·  Región de Morelia · Michoacán  │  INEGI 2020/2024 + Censo Agropecuario 2023 + SMN 2024 + SNSP 2025 + MktCompass  │  mktcompass.net</w:t>
            </w:r>
          </w:p>
        </w:tc>
        <w:tc>
          <w:tcPr>
            <w:tcW w:type="dxa" w:w="2360"/>
            <w:tcBorders>
              <w:top w:val="none" w:color="FFFFFF" w:sz="0"/>
              <w:left w:val="none" w:color="FFFFFF" w:sz="0"/>
              <w:bottom w:val="none" w:color="FFFFFF" w:sz="0"/>
              <w:right w:val="none" w:color="FFFFFF" w:sz="0"/>
            </w:tcBorders>
            <w:shd w:fill="FFFFFF" w:val="clear"/>
            <w:tcMar>
              <w:top w:type="dxa" w:w="100"/>
              <w:left w:type="dxa" w:w="140"/>
              <w:bottom w:type="dxa" w:w="100"/>
              <w:right w:type="dxa" w:w="140"/>
            </w:tcMar>
            <w:vAlign w:val="center"/>
          </w:tcPr>
          <w:p>
            <w:pPr>
              <w:jc w:val="right"/>
            </w:pPr>
            <w:r>
              <w:drawing>
                <wp:inline distT="0" distB="0" distL="0" distR="0">
                  <wp:extent cx="1000125" cy="2857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1000125" cy="285750"/>
                          </a:xfrm>
                          <a:prstGeom prst="rect">
                            <a:avLst/>
                          </a:prstGeom>
                        </pic:spPr>
                      </pic:pic>
                    </a:graphicData>
                  </a:graphic>
                </wp:inline>
              </w:drawing>
            </w:r>
          </w:p>
        </w:tc>
      </w:tr>
    </w:tbl>
    <w:sectPr>
      <w:headerReference w:type="default" r:id="rId9"/>
      <w:footerReference w:type="default" r:id="rId10"/>
      <w:pgSz w:w="12240" w:h="15840" w:orient="portrait"/>
      <w:pgMar w:top="1080" w:right="1080" w:bottom="1400" w:left="108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w="http://schemas.openxmlformats.org/wordprocessingml/2006/main">
  <w:font w:name="Arial">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25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25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720" w:hanging="3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color w:val="404040"/>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eader" Target="header2.xml"/><Relationship Id="rId10" Type="http://schemas.openxmlformats.org/officeDocument/2006/relationships/footer" Target="footer2.xml"/><Relationship Id="rId11" Type="http://schemas.openxmlformats.org/officeDocument/2006/relationships/image" Target="media/a7b680973e1308fe9bbd86f1ab9965becff8ea11.jpg"/><Relationship Id="rId12" Type="http://schemas.openxmlformats.org/officeDocument/2006/relationships/image" Target="media/29249fdc44ced2b10fc3ac4096f3e51323778a87.png"/><Relationship Id="rId13" Type="http://schemas.openxmlformats.org/officeDocument/2006/relationships/image" Target="media/5e095948f1b84b9f6ab72b93bc8e1b2b3bcca9a8.png"/><Relationship Id="rId14" Type="http://schemas.openxmlformats.org/officeDocument/2006/relationships/image" Target="media/7ba24c064b9d43a2dbd68f663d633d4f0785bca1.png"/><Relationship Id="rId15" Type="http://schemas.openxmlformats.org/officeDocument/2006/relationships/image" Target="media/40b4d97c0f152a723655db94e134bc85a68ce77f.png"/><Relationship Id="rId16" Type="http://schemas.openxmlformats.org/officeDocument/2006/relationships/image" Target="media/5c88a2ce607c9d5f967b31716fb39a83bd5eb305.png"/><Relationship Id="rId17" Type="http://schemas.openxmlformats.org/officeDocument/2006/relationships/image" Target="media/efa4017c7c36338eb2dd95838f9894eb1647efc4.png"/><Relationship Id="rId18" Type="http://schemas.openxmlformats.org/officeDocument/2006/relationships/image" Target="media/eaa94f701f9b416ff76801a19da51750e9228300.png"/><Relationship Id="rId19" Type="http://schemas.openxmlformats.org/officeDocument/2006/relationships/image" Target="media/22042e32fcb28b79f38a8d4b2acf914a25cb2be2.png"/><Relationship Id="rId20" Type="http://schemas.openxmlformats.org/officeDocument/2006/relationships/image" Target="media/145c1e2a8dd88a42a7750a5a70e1d2599c7f72d2.png"/><Relationship Id="rId21" Type="http://schemas.openxmlformats.org/officeDocument/2006/relationships/image" Target="media/fac28e69bcff144fae12bf19eaeea8c3b1fb90a6.png"/><Relationship Id="rId22" Type="http://schemas.openxmlformats.org/officeDocument/2006/relationships/image" Target="media/d57d329a6dc9c7836a8e51bccf7585e89f19e7ce.png"/><Relationship Id="rId23" Type="http://schemas.openxmlformats.org/officeDocument/2006/relationships/image" Target="media/337c544fa32ebdff86d604bafebfaae2ad969299.png"/><Relationship Id="rId2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Relationship Id="rId0" Type="http://schemas.openxmlformats.org/officeDocument/2006/relationships/image" Target="media/a7b680973e1308fe9bbd86f1ab9965becff8ea11.jpg"/></Relationships>
</file>

<file path=word/_rels/footer2.xml.rels><?xml version="1.0" encoding="UTF-8"?><Relationships xmlns="http://schemas.openxmlformats.org/package/2006/relationships"><Relationship Id="rId0" Type="http://schemas.openxmlformats.org/officeDocument/2006/relationships/image" Target="media/a7b680973e1308fe9bbd86f1ab9965becff8ea11.jpg"/></Relationships>
</file>

<file path=word/_rels/footnotes.xml.rels><?xml version="1.0" encoding="UTF-8"?><Relationships xmlns="http://schemas.openxmlformats.org/package/2006/relationships"/>
</file>

<file path=word/_rels/header1.xml.rels><?xml version="1.0" encoding="UTF-8"?><Relationships xmlns="http://schemas.openxmlformats.org/package/2006/relationships"/>
</file>

<file path=word/_rels/header2.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2026-08-25T23:29:32.931Z</dcterms:created>
  <dcterms:modified xsi:type="dcterms:W3CDTF">2026-08-25T23:29:32.932Z</dcterms:modified>
</cp:coreProperties>
</file>

<file path=docProps/custom.xml><?xml version="1.0" encoding="utf-8"?>
<Properties xmlns="http://schemas.openxmlformats.org/officeDocument/2006/custom-properties" xmlns:vt="http://schemas.openxmlformats.org/officeDocument/2006/docPropsVTypes"/>
</file>