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Override ContentType="application/vnd.openxmlformats-officedocument.wordprocessingml.header+xml" PartName="/word/header1.xml"/>
  <Override ContentType="application/vnd.openxmlformats-officedocument.wordprocessingml.footer+xml" PartName="/word/footer1.xml"/>
  <Override ContentType="application/vnd.openxmlformats-officedocument.wordprocessingml.header+xml" PartName="/word/header2.xml"/>
  <Override ContentType="application/vnd.openxmlformats-officedocument.wordprocessingml.footer+xml" PartName="/word/footer2.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tbl>
      <w:tblPr>
        <w:tblW w:type="dxa" w:w="12240"/>
        <w:tblInd w:type="dxa" w:w="-1080"/>
        <w:tblBorders>
          <w:top w:val="none" w:color="FFFFFF" w:sz="0"/>
          <w:left w:val="none" w:color="FFFFFF" w:sz="0"/>
          <w:bottom w:val="none" w:color="FFFFFF" w:sz="0"/>
          <w:right w:val="none" w:color="FFFFFF" w:sz="0"/>
          <w:insideH w:val="none" w:color="FFFFFF" w:sz="0"/>
          <w:insideV w:val="none" w:color="FFFFFF" w:sz="0"/>
        </w:tblBorders>
      </w:tblPr>
      <w:tblGrid>
        <w:gridCol w:w="5180"/>
        <w:gridCol w:w="7060"/>
      </w:tblGrid>
      <w:tr>
        <w:trPr>
          <w:cantSplit/>
        </w:trPr>
        <w:tc>
          <w:tcPr>
            <w:tcW w:type="dxa" w:w="5180"/>
            <w:tcBorders>
              <w:top w:val="none" w:color="FFFFFF" w:sz="0"/>
              <w:left w:val="none" w:color="FFFFFF" w:sz="0"/>
              <w:bottom w:val="none" w:color="FFFFFF" w:sz="0"/>
              <w:right w:val="none" w:color="FFFFFF" w:sz="0"/>
            </w:tcBorders>
            <w:shd w:fill="FFFFFF" w:val="clear"/>
            <w:tcMar>
              <w:top w:type="dxa" w:w="240"/>
              <w:left w:type="dxa" w:w="1340"/>
              <w:bottom w:type="dxa" w:w="200"/>
              <w:right w:type="dxa" w:w="220"/>
            </w:tcMar>
            <w:vAlign w:val="top"/>
          </w:tcPr>
          <w:p>
            <w:pPr>
              <w:spacing w:after="200"/>
            </w:pPr>
            <w:r>
              <w:drawing>
                <wp:inline distT="0" distB="0" distL="0" distR="0">
                  <wp:extent cx="2143125" cy="6096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2143125" cy="609600"/>
                          </a:xfrm>
                          <a:prstGeom prst="rect">
                            <a:avLst/>
                          </a:prstGeom>
                        </pic:spPr>
                      </pic:pic>
                    </a:graphicData>
                  </a:graphic>
                </wp:inline>
              </w:drawing>
            </w:r>
          </w:p>
          <w:p>
            <w:pPr>
              <w:spacing w:after="60"/>
            </w:pPr>
            <w:r>
              <w:rPr>
                <w:rFonts w:ascii="Arial" w:cs="Arial" w:eastAsia="Arial" w:hAnsi="Arial"/>
                <w:b/>
                <w:bCs/>
                <w:color w:val="2E75B6"/>
                <w:sz w:val="15"/>
                <w:szCs w:val="15"/>
              </w:rPr>
              <w:t xml:space="preserve">GEOANÁLISIS URBANO · ESTADOS UNIDOS</w:t>
            </w:r>
          </w:p>
          <w:p>
            <w:pPr>
              <w:spacing w:after="20"/>
            </w:pPr>
            <w:r>
              <w:rPr>
                <w:rFonts w:ascii="Arial" w:cs="Arial" w:eastAsia="Arial" w:hAnsi="Arial"/>
                <w:b/>
                <w:bCs/>
                <w:color w:val="0D2F55"/>
                <w:sz w:val="38"/>
                <w:szCs w:val="38"/>
              </w:rPr>
              <w:t xml:space="preserve">Eastlake</w:t>
            </w:r>
          </w:p>
          <w:p>
            <w:pPr>
              <w:spacing w:after="60"/>
            </w:pPr>
            <w:r>
              <w:rPr>
                <w:rFonts w:ascii="Arial" w:cs="Arial" w:eastAsia="Arial" w:hAnsi="Arial"/>
                <w:color w:val="555555"/>
                <w:sz w:val="22"/>
                <w:szCs w:val="22"/>
              </w:rPr>
              <w:t xml:space="preserve">Chula Vista, California</w:t>
            </w:r>
          </w:p>
          <w:p>
            <w:pPr>
              <w:pBdr>
                <w:bottom w:val="single" w:color="9DC3E6" w:sz="6" w:space="8"/>
              </w:pBdr>
              <w:spacing w:after="160"/>
            </w:pPr>
            <w:r>
              <w:rPr>
                <w:rFonts w:ascii="Arial" w:cs="Arial" w:eastAsia="Arial" w:hAnsi="Arial"/>
                <w:color w:val="2E75B6"/>
                <w:sz w:val="16"/>
                <w:szCs w:val="16"/>
              </w:rPr>
              <w:t xml:space="preserve">Reporte generado el 26 de agosto de 2026</w:t>
            </w:r>
          </w:p>
          <w:p>
            <w:pPr>
              <w:spacing w:after="100"/>
            </w:pPr>
            <w:r>
              <w:rPr>
                <w:rFonts w:ascii="Arial" w:cs="Arial" w:eastAsia="Arial" w:hAnsi="Arial"/>
                <w:b/>
                <w:bCs/>
                <w:color w:val="333333"/>
                <w:sz w:val="19"/>
                <w:szCs w:val="19"/>
              </w:rPr>
              <w:t xml:space="preserve">INTELIGENCIA GEOGRÁFICA </w:t>
            </w:r>
            <w:r>
              <w:rPr>
                <w:rFonts w:ascii="Arial" w:cs="Arial" w:eastAsia="Arial" w:hAnsi="Arial"/>
                <w:b/>
                <w:bCs/>
                <w:color w:val="1B4F8A"/>
                <w:sz w:val="19"/>
                <w:szCs w:val="19"/>
              </w:rPr>
              <w:t xml:space="preserve">PARA DECISIONES DE INVERSIÓN</w:t>
            </w:r>
          </w:p>
          <w:p>
            <w:pPr>
              <w:spacing w:after="180"/>
            </w:pPr>
            <w:r>
              <w:rPr>
                <w:rFonts w:ascii="Arial" w:cs="Arial" w:eastAsia="Arial" w:hAnsi="Arial"/>
                <w:color w:val="555555"/>
                <w:sz w:val="17"/>
                <w:szCs w:val="17"/>
              </w:rPr>
              <w:t xml:space="preserve">Entiende el mercado. Detecta la demanda. Encuentra la oportunidad.</w:t>
            </w:r>
          </w:p>
          <w:tbl>
            <w:tblPr>
              <w:tblW w:type="dxa" w:w="3800"/>
              <w:tblBorders>
                <w:top w:val="none" w:color="FFFFFF" w:sz="0"/>
                <w:left w:val="none" w:color="FFFFFF" w:sz="0"/>
                <w:bottom w:val="none" w:color="FFFFFF" w:sz="0"/>
                <w:right w:val="none" w:color="FFFFFF" w:sz="0"/>
                <w:insideH w:val="none" w:color="FFFFFF" w:sz="0"/>
                <w:insideV w:val="none" w:color="FFFFFF" w:sz="0"/>
              </w:tblBorders>
            </w:tblPr>
            <w:tblGrid>
              <w:gridCol w:w="3800"/>
            </w:tblGrid>
            <w:tr>
              <w:trPr>
                <w:cantSplit/>
              </w:trPr>
              <w:tc>
                <w:tcPr>
                  <w:tcW w:type="dxa" w:w="3800"/>
                  <w:tcBorders>
                    <w:top w:val="single" w:color="4EA3D4" w:sz="4"/>
                    <w:left w:val="single" w:color="4EA3D4" w:sz="4"/>
                    <w:bottom w:val="single" w:color="4EA3D4" w:sz="4"/>
                    <w:right w:val="single" w:color="4EA3D4" w:sz="4"/>
                  </w:tcBorders>
                  <w:shd w:fill="EAF4FB" w:val="clear"/>
                  <w:tcMar>
                    <w:top w:type="dxa" w:w="100"/>
                    <w:left w:type="dxa" w:w="160"/>
                    <w:bottom w:type="dxa" w:w="100"/>
                    <w:right w:type="dxa" w:w="160"/>
                  </w:tcMar>
                </w:tcPr>
                <w:p>
                  <w:pPr>
                    <w:jc w:val="center"/>
                  </w:pPr>
                  <w:r>
                    <w:drawing>
                      <wp:inline distT="0" distB="0" distL="0" distR="0">
                        <wp:extent cx="190500" cy="190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190500" cy="190500"/>
                                </a:xfrm>
                                <a:prstGeom prst="rect">
                                  <a:avLst/>
                                </a:prstGeom>
                              </pic:spPr>
                            </pic:pic>
                          </a:graphicData>
                        </a:graphic>
                      </wp:inline>
                    </w:drawing>
                  </w:r>
                  <w:r>
                    <w:rPr>
                      <w:rFonts w:ascii="Arial" w:cs="Arial" w:eastAsia="Arial" w:hAnsi="Arial"/>
                      <w:b/>
                      <w:bCs/>
                      <w:color w:val="1B4F8A"/>
                      <w:sz w:val="16"/>
                      <w:szCs w:val="16"/>
                    </w:rPr>
                    <w:t xml:space="preserve">   ISÓCRONA DE 10 MINUTOS EN AUTOMÓVIL</w:t>
                  </w:r>
                </w:p>
              </w:tc>
            </w:tr>
          </w:tbl>
          <w:p/>
        </w:tc>
        <w:tc>
          <w:tcPr>
            <w:tcW w:type="dxa" w:w="7060"/>
            <w:tcBorders>
              <w:top w:val="none" w:color="FFFFFF" w:sz="0"/>
              <w:left w:val="none" w:color="FFFFFF" w:sz="0"/>
              <w:bottom w:val="none" w:color="FFFFFF" w:sz="0"/>
              <w:right w:val="none" w:color="FFFFFF" w:sz="0"/>
            </w:tcBorders>
            <w:shd w:fill="0D2F55" w:val="clear"/>
            <w:tcMar>
              <w:top w:type="dxa" w:w="100"/>
              <w:left w:type="dxa" w:w="20"/>
              <w:bottom w:type="dxa" w:w="100"/>
              <w:right w:type="dxa" w:w="1080"/>
            </w:tcMar>
            <w:vAlign w:val="center"/>
          </w:tcPr>
          <w:p>
            <w:pPr>
              <w:jc w:val="center"/>
            </w:pPr>
            <w:r>
              <w:drawing>
                <wp:inline distT="0" distB="0" distL="0" distR="0">
                  <wp:extent cx="3333750" cy="3619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3333750" cy="3619500"/>
                          </a:xfrm>
                          <a:prstGeom prst="rect">
                            <a:avLst/>
                          </a:prstGeom>
                        </pic:spPr>
                      </pic:pic>
                    </a:graphicData>
                  </a:graphic>
                </wp:inline>
              </w:drawing>
            </w:r>
          </w:p>
        </w:tc>
      </w:tr>
    </w:tbl>
    <w:p>
      <w:pPr>
        <w:spacing w:after="140" w:before="0"/>
      </w:pPr>
      <w:r>
        <w:rPr>
          <w:rFonts w:ascii="Arial" w:cs="Arial" w:eastAsia="Arial" w:hAnsi="Arial"/>
          <w:b w:val="false"/>
          <w:bCs w:val="false"/>
          <w:i w:val="false"/>
          <w:iCs w:val="false"/>
          <w:color w:val="404040"/>
          <w:sz w:val="4"/>
          <w:szCs w:val="4"/>
        </w:rPr>
        <w:t xml:space="preserve"/>
      </w:r>
    </w:p>
    <w:tbl>
      <w:tblPr>
        <w:tblW w:type="dxa" w:w="12240"/>
        <w:tblInd w:type="dxa" w:w="-1080"/>
        <w:tblBorders>
          <w:top w:val="none" w:color="FFFFFF" w:sz="0"/>
          <w:left w:val="none" w:color="FFFFFF" w:sz="0"/>
          <w:bottom w:val="none" w:color="FFFFFF" w:sz="0"/>
          <w:right w:val="none" w:color="FFFFFF" w:sz="0"/>
          <w:insideH w:val="none" w:color="FFFFFF" w:sz="0"/>
          <w:insideV w:val="none" w:color="FFFFFF" w:sz="0"/>
        </w:tblBorders>
      </w:tblPr>
      <w:tblGrid>
        <w:gridCol w:w="3182"/>
        <w:gridCol w:w="1984"/>
        <w:gridCol w:w="1985"/>
        <w:gridCol w:w="1984"/>
        <w:gridCol w:w="3105"/>
      </w:tblGrid>
      <w:tr>
        <w:trPr>
          <w:cantSplit/>
        </w:trPr>
        <w:tc>
          <w:tcPr>
            <w:tcW w:type="dxa" w:w="3182"/>
            <w:tcBorders>
              <w:top w:val="single" w:color="DCE4EC" w:sz="4"/>
              <w:left w:val="single" w:color="2E75B6" w:sz="20"/>
              <w:bottom w:val="single" w:color="DCE4EC" w:sz="4"/>
              <w:right w:val="single" w:color="DCE4EC" w:sz="4"/>
            </w:tcBorders>
            <w:shd w:fill="FFFFFF" w:val="clear"/>
            <w:tcMar>
              <w:top w:type="dxa" w:w="130"/>
              <w:left w:type="dxa" w:w="1210"/>
              <w:bottom w:type="dxa" w:w="130"/>
              <w:right w:type="dxa" w:w="13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POBLACIÓN</w:t>
            </w:r>
          </w:p>
          <w:p>
            <w:pPr>
              <w:spacing w:after="20"/>
              <w:jc w:val="center"/>
            </w:pPr>
            <w:r>
              <w:rPr>
                <w:rFonts w:ascii="Arial" w:cs="Arial" w:eastAsia="Arial" w:hAnsi="Arial"/>
                <w:b/>
                <w:bCs/>
                <w:color w:val="0D2F55"/>
                <w:sz w:val="25"/>
                <w:szCs w:val="25"/>
              </w:rPr>
              <w:t xml:space="preserve">144,674</w:t>
            </w:r>
          </w:p>
          <w:p>
            <w:pPr>
              <w:spacing w:after="110"/>
              <w:jc w:val="center"/>
            </w:pPr>
            <w:r>
              <w:rPr>
                <w:rFonts w:ascii="Arial" w:cs="Arial" w:eastAsia="Arial" w:hAnsi="Arial"/>
                <w:color w:val="555555"/>
                <w:sz w:val="11"/>
                <w:szCs w:val="11"/>
              </w:rPr>
              <w:t xml:space="preserve">RESIDENTES</w:t>
            </w:r>
          </w:p>
          <w:p>
            <w:pPr>
              <w:pBdr>
                <w:top w:val="single" w:color="DCE4EC" w:sz="4" w:space="8"/>
              </w:pBdr>
              <w:spacing w:after="20"/>
              <w:jc w:val="center"/>
            </w:pPr>
            <w:r>
              <w:rPr>
                <w:rFonts w:ascii="Arial" w:cs="Arial" w:eastAsia="Arial" w:hAnsi="Arial"/>
                <w:b/>
                <w:bCs/>
                <w:color w:val="2E75B6"/>
                <w:sz w:val="17"/>
                <w:szCs w:val="17"/>
              </w:rPr>
              <w:t xml:space="preserve">3.2x</w:t>
            </w:r>
          </w:p>
          <w:p>
            <w:pPr>
              <w:jc w:val="center"/>
            </w:pPr>
            <w:r>
              <w:rPr>
                <w:rFonts w:ascii="Arial" w:cs="Arial" w:eastAsia="Arial" w:hAnsi="Arial"/>
                <w:color w:val="555555"/>
                <w:sz w:val="12"/>
                <w:szCs w:val="12"/>
              </w:rPr>
              <w:t xml:space="preserve">residentes por hogar</w:t>
            </w:r>
          </w:p>
        </w:tc>
        <w:tc>
          <w:tcPr>
            <w:tcW w:type="dxa" w:w="1984"/>
            <w:tcBorders>
              <w:top w:val="single" w:color="DCE4EC" w:sz="4"/>
              <w:left w:val="single" w:color="2E75B6" w:sz="20"/>
              <w:bottom w:val="single" w:color="DCE4EC" w:sz="4"/>
              <w:right w:val="single" w:color="DCE4EC" w:sz="4"/>
            </w:tcBorders>
            <w:shd w:fill="FFFFFF" w:val="clear"/>
            <w:tcMar>
              <w:top w:type="dxa" w:w="130"/>
              <w:left w:type="dxa" w:w="130"/>
              <w:bottom w:type="dxa" w:w="130"/>
              <w:right w:type="dxa" w:w="13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HOGARES</w:t>
            </w:r>
          </w:p>
          <w:p>
            <w:pPr>
              <w:spacing w:after="20"/>
              <w:jc w:val="center"/>
            </w:pPr>
            <w:r>
              <w:rPr>
                <w:rFonts w:ascii="Arial" w:cs="Arial" w:eastAsia="Arial" w:hAnsi="Arial"/>
                <w:b/>
                <w:bCs/>
                <w:color w:val="0D2F55"/>
                <w:sz w:val="25"/>
                <w:szCs w:val="25"/>
              </w:rPr>
              <w:t xml:space="preserve">45,281</w:t>
            </w:r>
          </w:p>
          <w:p>
            <w:pPr>
              <w:spacing w:after="110"/>
              <w:jc w:val="center"/>
            </w:pPr>
            <w:r>
              <w:rPr>
                <w:rFonts w:ascii="Arial" w:cs="Arial" w:eastAsia="Arial" w:hAnsi="Arial"/>
                <w:color w:val="555555"/>
                <w:sz w:val="11"/>
                <w:szCs w:val="11"/>
              </w:rPr>
              <w:t xml:space="preserve">HOGARES</w:t>
            </w:r>
          </w:p>
          <w:p>
            <w:pPr>
              <w:pBdr>
                <w:top w:val="single" w:color="DCE4EC" w:sz="4" w:space="8"/>
              </w:pBdr>
              <w:spacing w:after="20"/>
              <w:jc w:val="center"/>
            </w:pPr>
            <w:r>
              <w:rPr>
                <w:rFonts w:ascii="Arial" w:cs="Arial" w:eastAsia="Arial" w:hAnsi="Arial"/>
                <w:b/>
                <w:bCs/>
                <w:color w:val="2E75B6"/>
                <w:sz w:val="17"/>
                <w:szCs w:val="17"/>
              </w:rPr>
              <w:t xml:space="preserve">96.3%</w:t>
            </w:r>
          </w:p>
          <w:p>
            <w:pPr>
              <w:jc w:val="center"/>
            </w:pPr>
            <w:r>
              <w:rPr>
                <w:rFonts w:ascii="Arial" w:cs="Arial" w:eastAsia="Arial" w:hAnsi="Arial"/>
                <w:color w:val="555555"/>
                <w:sz w:val="12"/>
                <w:szCs w:val="12"/>
              </w:rPr>
              <w:t xml:space="preserve">ocupación de vivienda</w:t>
            </w:r>
          </w:p>
        </w:tc>
        <w:tc>
          <w:tcPr>
            <w:tcW w:type="dxa" w:w="1985"/>
            <w:tcBorders>
              <w:top w:val="single" w:color="DCE4EC" w:sz="4"/>
              <w:left w:val="single" w:color="2E75B6" w:sz="20"/>
              <w:bottom w:val="single" w:color="DCE4EC" w:sz="4"/>
              <w:right w:val="single" w:color="DCE4EC" w:sz="4"/>
            </w:tcBorders>
            <w:shd w:fill="FFFFFF" w:val="clear"/>
            <w:tcMar>
              <w:top w:type="dxa" w:w="130"/>
              <w:left w:type="dxa" w:w="130"/>
              <w:bottom w:type="dxa" w:w="130"/>
              <w:right w:type="dxa" w:w="13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INGRESO</w:t>
            </w:r>
          </w:p>
          <w:p>
            <w:pPr>
              <w:spacing w:after="20"/>
              <w:jc w:val="center"/>
            </w:pPr>
            <w:r>
              <w:rPr>
                <w:rFonts w:ascii="Arial" w:cs="Arial" w:eastAsia="Arial" w:hAnsi="Arial"/>
                <w:b/>
                <w:bCs/>
                <w:color w:val="0D2F55"/>
                <w:sz w:val="25"/>
                <w:szCs w:val="25"/>
              </w:rPr>
              <w:t xml:space="preserve">$109,106</w:t>
            </w:r>
          </w:p>
          <w:p>
            <w:pPr>
              <w:spacing w:after="110"/>
              <w:jc w:val="center"/>
            </w:pPr>
            <w:r>
              <w:rPr>
                <w:rFonts w:ascii="Arial" w:cs="Arial" w:eastAsia="Arial" w:hAnsi="Arial"/>
                <w:color w:val="555555"/>
                <w:sz w:val="11"/>
                <w:szCs w:val="11"/>
              </w:rPr>
              <w:t xml:space="preserve">MEDIANA DEL HOGAR</w:t>
            </w:r>
          </w:p>
          <w:p>
            <w:pPr>
              <w:pBdr>
                <w:top w:val="single" w:color="DCE4EC" w:sz="4" w:space="8"/>
              </w:pBdr>
              <w:spacing w:after="20"/>
              <w:jc w:val="center"/>
            </w:pPr>
            <w:r>
              <w:rPr>
                <w:rFonts w:ascii="Arial" w:cs="Arial" w:eastAsia="Arial" w:hAnsi="Arial"/>
                <w:b/>
                <w:bCs/>
                <w:color w:val="2E75B6"/>
                <w:sz w:val="17"/>
                <w:szCs w:val="17"/>
              </w:rPr>
              <w:t xml:space="preserve">16.2%</w:t>
            </w:r>
          </w:p>
          <w:p>
            <w:pPr>
              <w:jc w:val="center"/>
            </w:pPr>
            <w:r>
              <w:rPr>
                <w:rFonts w:ascii="Arial" w:cs="Arial" w:eastAsia="Arial" w:hAnsi="Arial"/>
                <w:color w:val="555555"/>
                <w:sz w:val="12"/>
                <w:szCs w:val="12"/>
              </w:rPr>
              <w:t xml:space="preserve">hogares $200K+</w:t>
            </w:r>
          </w:p>
        </w:tc>
        <w:tc>
          <w:tcPr>
            <w:tcW w:type="dxa" w:w="1984"/>
            <w:tcBorders>
              <w:top w:val="single" w:color="DCE4EC" w:sz="4"/>
              <w:left w:val="single" w:color="2E75B6" w:sz="20"/>
              <w:bottom w:val="single" w:color="DCE4EC" w:sz="4"/>
              <w:right w:val="single" w:color="DCE4EC" w:sz="4"/>
            </w:tcBorders>
            <w:shd w:fill="FFFFFF" w:val="clear"/>
            <w:tcMar>
              <w:top w:type="dxa" w:w="130"/>
              <w:left w:type="dxa" w:w="130"/>
              <w:bottom w:type="dxa" w:w="130"/>
              <w:right w:type="dxa" w:w="13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COMERCIOS</w:t>
            </w:r>
          </w:p>
          <w:p>
            <w:pPr>
              <w:spacing w:after="20"/>
              <w:jc w:val="center"/>
            </w:pPr>
            <w:r>
              <w:rPr>
                <w:rFonts w:ascii="Arial" w:cs="Arial" w:eastAsia="Arial" w:hAnsi="Arial"/>
                <w:b/>
                <w:bCs/>
                <w:color w:val="0D2F55"/>
                <w:sz w:val="25"/>
                <w:szCs w:val="25"/>
              </w:rPr>
              <w:t xml:space="preserve">528</w:t>
            </w:r>
          </w:p>
          <w:p>
            <w:pPr>
              <w:spacing w:after="110"/>
              <w:jc w:val="center"/>
            </w:pPr>
            <w:r>
              <w:rPr>
                <w:rFonts w:ascii="Arial" w:cs="Arial" w:eastAsia="Arial" w:hAnsi="Arial"/>
                <w:color w:val="555555"/>
                <w:sz w:val="11"/>
                <w:szCs w:val="11"/>
              </w:rPr>
              <w:t xml:space="preserve">UBICACIONES (POIS)</w:t>
            </w:r>
          </w:p>
          <w:p>
            <w:pPr>
              <w:pBdr>
                <w:top w:val="single" w:color="DCE4EC" w:sz="4" w:space="8"/>
              </w:pBdr>
              <w:spacing w:after="20"/>
              <w:jc w:val="center"/>
            </w:pPr>
            <w:r>
              <w:rPr>
                <w:rFonts w:ascii="Arial" w:cs="Arial" w:eastAsia="Arial" w:hAnsi="Arial"/>
                <w:b/>
                <w:bCs/>
                <w:color w:val="2E75B6"/>
                <w:sz w:val="17"/>
                <w:szCs w:val="17"/>
              </w:rPr>
              <w:t xml:space="preserve">3.6</w:t>
            </w:r>
          </w:p>
          <w:p>
            <w:pPr>
              <w:jc w:val="center"/>
            </w:pPr>
            <w:r>
              <w:rPr>
                <w:rFonts w:ascii="Arial" w:cs="Arial" w:eastAsia="Arial" w:hAnsi="Arial"/>
                <w:color w:val="555555"/>
                <w:sz w:val="12"/>
                <w:szCs w:val="12"/>
              </w:rPr>
              <w:t xml:space="preserve">POIs por 1,000 residentes</w:t>
            </w:r>
          </w:p>
        </w:tc>
        <w:tc>
          <w:tcPr>
            <w:tcW w:type="dxa" w:w="3105"/>
            <w:tcBorders>
              <w:top w:val="single" w:color="DCE4EC" w:sz="4"/>
              <w:left w:val="single" w:color="2E75B6" w:sz="20"/>
              <w:bottom w:val="single" w:color="DCE4EC" w:sz="4"/>
              <w:right w:val="single" w:color="DCE4EC" w:sz="4"/>
            </w:tcBorders>
            <w:shd w:fill="FFFFFF" w:val="clear"/>
            <w:tcMar>
              <w:top w:type="dxa" w:w="130"/>
              <w:left w:type="dxa" w:w="130"/>
              <w:bottom w:type="dxa" w:w="130"/>
              <w:right w:type="dxa" w:w="121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CAMBIO POBL.</w:t>
            </w:r>
          </w:p>
          <w:p>
            <w:pPr>
              <w:spacing w:after="20"/>
              <w:jc w:val="center"/>
            </w:pPr>
            <w:r>
              <w:rPr>
                <w:rFonts w:ascii="Arial" w:cs="Arial" w:eastAsia="Arial" w:hAnsi="Arial"/>
                <w:b/>
                <w:bCs/>
                <w:color w:val="0D2F55"/>
                <w:sz w:val="25"/>
                <w:szCs w:val="25"/>
              </w:rPr>
              <w:t xml:space="preserve">-32.1%</w:t>
            </w:r>
          </w:p>
          <w:p>
            <w:pPr>
              <w:spacing w:after="110"/>
              <w:jc w:val="center"/>
            </w:pPr>
            <w:r>
              <w:rPr>
                <w:rFonts w:ascii="Arial" w:cs="Arial" w:eastAsia="Arial" w:hAnsi="Arial"/>
                <w:color w:val="555555"/>
                <w:sz w:val="11"/>
                <w:szCs w:val="11"/>
              </w:rPr>
              <w:t xml:space="preserve">2019–2024 (ACS)</w:t>
            </w:r>
          </w:p>
          <w:p>
            <w:pPr>
              <w:pBdr>
                <w:top w:val="single" w:color="DCE4EC" w:sz="4" w:space="8"/>
              </w:pBdr>
              <w:spacing w:after="20"/>
              <w:jc w:val="center"/>
            </w:pPr>
            <w:r>
              <w:rPr>
                <w:rFonts w:ascii="Arial" w:cs="Arial" w:eastAsia="Arial" w:hAnsi="Arial"/>
                <w:b/>
                <w:bCs/>
                <w:color w:val="2E75B6"/>
                <w:sz w:val="17"/>
                <w:szCs w:val="17"/>
              </w:rPr>
              <w:t xml:space="preserve">213,056</w:t>
            </w:r>
          </w:p>
          <w:p>
            <w:pPr>
              <w:jc w:val="center"/>
            </w:pPr>
            <w:r>
              <w:rPr>
                <w:rFonts w:ascii="Arial" w:cs="Arial" w:eastAsia="Arial" w:hAnsi="Arial"/>
                <w:color w:val="555555"/>
                <w:sz w:val="12"/>
                <w:szCs w:val="12"/>
              </w:rPr>
              <w:t xml:space="preserve">estimación 2019</w:t>
            </w:r>
          </w:p>
        </w:tc>
      </w:tr>
    </w:tbl>
    <w:p>
      <w:pPr>
        <w:spacing w:after="90" w:before="0"/>
      </w:pPr>
      <w:r>
        <w:rPr>
          <w:rFonts w:ascii="Arial" w:cs="Arial" w:eastAsia="Arial" w:hAnsi="Arial"/>
          <w:b w:val="false"/>
          <w:bCs w:val="false"/>
          <w:i w:val="false"/>
          <w:iCs w:val="false"/>
          <w:color w:val="404040"/>
          <w:sz w:val="4"/>
          <w:szCs w:val="4"/>
        </w:rPr>
        <w:t xml:space="preserve"/>
      </w:r>
    </w:p>
    <w:tbl>
      <w:tblPr>
        <w:tblW w:type="dxa" w:w="12240"/>
        <w:tblInd w:type="dxa" w:w="-1080"/>
        <w:tblBorders>
          <w:top w:val="none" w:color="FFFFFF" w:sz="0"/>
          <w:left w:val="none" w:color="FFFFFF" w:sz="0"/>
          <w:bottom w:val="none" w:color="FFFFFF" w:sz="0"/>
          <w:right w:val="none" w:color="FFFFFF" w:sz="0"/>
          <w:insideH w:val="none" w:color="FFFFFF" w:sz="0"/>
          <w:insideV w:val="none" w:color="FFFFFF" w:sz="0"/>
        </w:tblBorders>
      </w:tblPr>
      <w:tblGrid>
        <w:gridCol w:w="6760"/>
        <w:gridCol w:w="180"/>
        <w:gridCol w:w="5300"/>
      </w:tblGrid>
      <w:tr>
        <w:trPr>
          <w:cantSplit/>
        </w:trPr>
        <w:tc>
          <w:tcPr>
            <w:tcW w:type="dxa" w:w="6760"/>
            <w:tcBorders>
              <w:top w:val="none" w:color="FFFFFF" w:sz="0"/>
              <w:left w:val="none" w:color="FFFFFF" w:sz="0"/>
              <w:bottom w:val="none" w:color="FFFFFF" w:sz="0"/>
              <w:right w:val="none" w:color="FFFFFF" w:sz="0"/>
            </w:tcBorders>
            <w:shd w:fill="000000" w:val="clear"/>
            <w:tcMar>
              <w:top w:type="dxa" w:w="170"/>
              <w:left w:type="dxa" w:w="1300"/>
              <w:bottom w:type="dxa" w:w="170"/>
              <w:right w:type="dxa" w:w="220"/>
            </w:tcMar>
            <w:vAlign w:val="top"/>
          </w:tcPr>
          <w:p>
            <w:pPr>
              <w:spacing w:after="160"/>
            </w:pPr>
            <w:r>
              <w:rPr>
                <w:rFonts w:ascii="Arial" w:cs="Arial" w:eastAsia="Arial" w:hAnsi="Arial"/>
                <w:b/>
                <w:bCs/>
                <w:color w:val="FFFFFF"/>
                <w:sz w:val="19"/>
                <w:szCs w:val="19"/>
              </w:rPr>
              <w:t xml:space="preserve">HALLAZGOS PRINCIPALES</w:t>
            </w:r>
          </w:p>
          <w:p>
            <w:pPr>
              <w:spacing w:after="160"/>
              <w:jc w:val="both"/>
            </w:pPr>
            <w:r>
              <w:rPr>
                <w:rFonts w:ascii="Arial" w:cs="Arial" w:eastAsia="Arial" w:hAnsi="Arial"/>
                <w:b w:val="false"/>
                <w:bCs w:val="false"/>
                <w:i w:val="false"/>
                <w:iCs w:val="false"/>
                <w:color w:val="FFFFFF"/>
                <w:sz w:val="18"/>
                <w:szCs w:val="18"/>
              </w:rPr>
              <w:t xml:space="preserve">El punto de partida es doble: la aparente caída de población entre 2019 y 2024 es, según la propia fuente, una oscilación no confiable a nivel de bloque censal —no un éxodo real— y a corta distancia se ubica Otay Ranch Town Center, un centro comercial consolidado que ya cubre buena parte de la oferta de comparación y especialidad de la zona. Dentro de esos límites, </w:t>
            </w:r>
            <w:r>
              <w:rPr>
                <w:rFonts w:ascii="Arial" w:cs="Arial" w:eastAsia="Arial" w:hAnsi="Arial"/>
                <w:b w:val="false"/>
                <w:bCs w:val="false"/>
                <w:i w:val="false"/>
                <w:iCs w:val="false"/>
                <w:color w:val="7FC3E8"/>
                <w:sz w:val="18"/>
                <w:szCs w:val="18"/>
                <w:u w:val="single"/>
              </w:rPr>
              <w:t xml:space="preserve">una base residencial numerosa, de altos ingresos y mayoritariamente hispana</w:t>
            </w:r>
            <w:r>
              <w:rPr>
                <w:rFonts w:ascii="Arial" w:cs="Arial" w:eastAsia="Arial" w:hAnsi="Arial"/>
                <w:b w:val="false"/>
                <w:bCs w:val="false"/>
                <w:i w:val="false"/>
                <w:iCs w:val="false"/>
                <w:color w:val="FFFFFF"/>
                <w:sz w:val="18"/>
                <w:szCs w:val="18"/>
              </w:rPr>
              <w:t xml:space="preserve"> convive con un panorama comercial denso en restaurantes y bares, pero con </w:t>
            </w:r>
            <w:r>
              <w:rPr>
                <w:rFonts w:ascii="Arial" w:cs="Arial" w:eastAsia="Arial" w:hAnsi="Arial"/>
                <w:b w:val="false"/>
                <w:bCs w:val="false"/>
                <w:i w:val="false"/>
                <w:iCs w:val="false"/>
                <w:color w:val="7FC3E8"/>
                <w:sz w:val="18"/>
                <w:szCs w:val="18"/>
                <w:u w:val="single"/>
              </w:rPr>
              <w:t xml:space="preserve">una oferta gastronómica mexicana prácticamente inexistente fuera de las cadenas nacionales</w:t>
            </w:r>
            <w:r>
              <w:rPr>
                <w:rFonts w:ascii="Arial" w:cs="Arial" w:eastAsia="Arial" w:hAnsi="Arial"/>
                <w:b w:val="false"/>
                <w:bCs w:val="false"/>
                <w:i w:val="false"/>
                <w:iCs w:val="false"/>
                <w:color w:val="FFFFFF"/>
                <w:sz w:val="18"/>
                <w:szCs w:val="18"/>
              </w:rPr>
              <w:t xml:space="preserve">.</w:t>
            </w:r>
          </w:p>
          <w:p>
            <w:pPr>
              <w:jc w:val="both"/>
            </w:pPr>
            <w:r>
              <w:rPr>
                <w:rFonts w:ascii="Arial" w:cs="Arial" w:eastAsia="Arial" w:hAnsi="Arial"/>
                <w:b/>
                <w:bCs/>
                <w:i/>
                <w:iCs/>
                <w:color w:val="FFFFFF"/>
                <w:sz w:val="24"/>
                <w:szCs w:val="24"/>
              </w:rPr>
              <w:t xml:space="preserve">La oportunidad no es sumar un restaurante más — es ser, por fin, </w:t>
            </w:r>
            <w:r>
              <w:rPr>
                <w:rFonts w:ascii="Arial" w:cs="Arial" w:eastAsia="Arial" w:hAnsi="Arial"/>
                <w:b/>
                <w:bCs/>
                <w:i/>
                <w:iCs/>
                <w:color w:val="7FC3E8"/>
                <w:sz w:val="24"/>
                <w:szCs w:val="24"/>
                <w:u w:val="single"/>
              </w:rPr>
              <w:t xml:space="preserve">el que sí refleja a la mayoría del vecindario</w:t>
            </w:r>
            <w:r>
              <w:rPr>
                <w:rFonts w:ascii="Arial" w:cs="Arial" w:eastAsia="Arial" w:hAnsi="Arial"/>
                <w:b/>
                <w:bCs/>
                <w:i/>
                <w:iCs/>
                <w:color w:val="FFFFFF"/>
                <w:sz w:val="24"/>
                <w:szCs w:val="24"/>
              </w:rPr>
              <w:t xml:space="preserve">.</w:t>
            </w:r>
          </w:p>
        </w:tc>
        <w:tc>
          <w:tcPr>
            <w:tcW w:type="dxa" w:w="180"/>
            <w:tcBorders>
              <w:top w:val="none" w:color="FFFFFF" w:sz="0"/>
              <w:left w:val="none" w:color="FFFFFF" w:sz="0"/>
              <w:bottom w:val="none" w:color="FFFFFF" w:sz="0"/>
              <w:right w:val="none" w:color="FFFFFF" w:sz="0"/>
            </w:tcBorders>
            <w:shd w:fill="FFFFFF" w:val="clear"/>
            <w:tcMar>
              <w:top w:type="dxa" w:w="0"/>
              <w:left w:type="dxa" w:w="0"/>
              <w:bottom w:type="dxa" w:w="0"/>
              <w:right w:type="dxa" w:w="0"/>
            </w:tcMar>
          </w:tcPr>
          <w:p/>
        </w:tc>
        <w:tc>
          <w:tcPr>
            <w:tcW w:type="dxa" w:w="5300"/>
            <w:tcBorders>
              <w:top w:val="none" w:color="FFFFFF" w:sz="0"/>
              <w:left w:val="none" w:color="FFFFFF" w:sz="0"/>
              <w:bottom w:val="none" w:color="FFFFFF" w:sz="0"/>
              <w:right w:val="none" w:color="FFFFFF" w:sz="0"/>
            </w:tcBorders>
            <w:shd w:fill="D9D9D9" w:val="clear"/>
            <w:tcMar>
              <w:top w:type="dxa" w:w="170"/>
              <w:left w:type="dxa" w:w="220"/>
              <w:bottom w:type="dxa" w:w="170"/>
              <w:right w:type="dxa" w:w="1300"/>
            </w:tcMar>
            <w:vAlign w:val="top"/>
          </w:tcPr>
          <w:p>
            <w:pPr>
              <w:spacing w:after="140"/>
            </w:pPr>
            <w:r>
              <w:rPr>
                <w:rFonts w:ascii="Arial" w:cs="Arial" w:eastAsia="Arial" w:hAnsi="Arial"/>
                <w:b/>
                <w:bCs/>
                <w:color w:val="1B4F8A"/>
                <w:sz w:val="19"/>
                <w:szCs w:val="19"/>
              </w:rPr>
              <w:t xml:space="preserve">FICHA TÉCNICA</w:t>
            </w:r>
          </w:p>
          <w:tbl>
            <w:tblPr>
              <w:tblW w:type="dxa" w:w="3900"/>
              <w:tblBorders>
                <w:top w:val="none" w:color="FFFFFF" w:sz="0"/>
                <w:left w:val="none" w:color="FFFFFF" w:sz="0"/>
                <w:bottom w:val="none" w:color="FFFFFF" w:sz="0"/>
                <w:right w:val="none" w:color="FFFFFF" w:sz="0"/>
                <w:insideH w:val="none" w:color="FFFFFF" w:sz="0"/>
                <w:insideV w:val="none" w:color="FFFFFF" w:sz="0"/>
              </w:tblBorders>
            </w:tblPr>
            <w:tblGrid>
              <w:gridCol w:w="420"/>
              <w:gridCol w:w="1330"/>
              <w:gridCol w:w="2150"/>
            </w:tblGrid>
            <w:tr>
              <w:trPr>
                <w:cantSplit/>
              </w:trPr>
              <w:tc>
                <w:tcPr>
                  <w:tcW w:type="dxa" w:w="42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70"/>
                    <w:left w:type="dxa" w:w="0"/>
                    <w:bottom w:type="dxa" w:w="70"/>
                    <w:right w:type="dxa" w:w="60"/>
                  </w:tcMar>
                  <w:vAlign w:val="center"/>
                </w:tcPr>
                <w:p>
                  <w:r>
                    <w:rPr>
                      <w:rFonts w:ascii="Arial" w:cs="Arial" w:eastAsia="Arial" w:hAnsi="Arial"/>
                      <w:b/>
                      <w:bCs/>
                      <w:color w:val="555555"/>
                      <w:sz w:val="13"/>
                      <w:szCs w:val="13"/>
                    </w:rPr>
                    <w:t xml:space="preserve">Área analizada</w:t>
                  </w:r>
                </w:p>
              </w:tc>
              <w:tc>
                <w:tcPr>
                  <w:tcW w:type="dxa" w:w="215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rPr>
                      <w:rFonts w:ascii="Arial" w:cs="Arial" w:eastAsia="Arial" w:hAnsi="Arial"/>
                      <w:color w:val="333333"/>
                      <w:sz w:val="15"/>
                      <w:szCs w:val="15"/>
                    </w:rPr>
                    <w:t xml:space="preserve">isócrona de 10 minutos en automóvil</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70"/>
                    <w:left w:type="dxa" w:w="0"/>
                    <w:bottom w:type="dxa" w:w="70"/>
                    <w:right w:type="dxa" w:w="60"/>
                  </w:tcMar>
                  <w:vAlign w:val="center"/>
                </w:tcPr>
                <w:p>
                  <w:r>
                    <w:rPr>
                      <w:rFonts w:ascii="Arial" w:cs="Arial" w:eastAsia="Arial" w:hAnsi="Arial"/>
                      <w:b/>
                      <w:bCs/>
                      <w:color w:val="555555"/>
                      <w:sz w:val="13"/>
                      <w:szCs w:val="13"/>
                    </w:rPr>
                    <w:t xml:space="preserve">Puntos de interés</w:t>
                  </w:r>
                </w:p>
              </w:tc>
              <w:tc>
                <w:tcPr>
                  <w:tcW w:type="dxa" w:w="215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rPr>
                      <w:rFonts w:ascii="Arial" w:cs="Arial" w:eastAsia="Arial" w:hAnsi="Arial"/>
                      <w:color w:val="333333"/>
                      <w:sz w:val="15"/>
                      <w:szCs w:val="15"/>
                    </w:rPr>
                    <w:t xml:space="preserve">528</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70"/>
                    <w:left w:type="dxa" w:w="0"/>
                    <w:bottom w:type="dxa" w:w="70"/>
                    <w:right w:type="dxa" w:w="60"/>
                  </w:tcMar>
                  <w:vAlign w:val="center"/>
                </w:tcPr>
                <w:p>
                  <w:r>
                    <w:rPr>
                      <w:rFonts w:ascii="Arial" w:cs="Arial" w:eastAsia="Arial" w:hAnsi="Arial"/>
                      <w:b/>
                      <w:bCs/>
                      <w:color w:val="555555"/>
                      <w:sz w:val="13"/>
                      <w:szCs w:val="13"/>
                    </w:rPr>
                    <w:t xml:space="preserve">Unidades de vivienda</w:t>
                  </w:r>
                </w:p>
              </w:tc>
              <w:tc>
                <w:tcPr>
                  <w:tcW w:type="dxa" w:w="215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rPr>
                      <w:rFonts w:ascii="Arial" w:cs="Arial" w:eastAsia="Arial" w:hAnsi="Arial"/>
                      <w:color w:val="333333"/>
                      <w:sz w:val="15"/>
                      <w:szCs w:val="15"/>
                    </w:rPr>
                    <w:t xml:space="preserve">47,044 totales · 45,281 ocupadas (96.3%)</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70"/>
                    <w:left w:type="dxa" w:w="0"/>
                    <w:bottom w:type="dxa" w:w="70"/>
                    <w:right w:type="dxa" w:w="60"/>
                  </w:tcMar>
                  <w:vAlign w:val="center"/>
                </w:tcPr>
                <w:p>
                  <w:r>
                    <w:rPr>
                      <w:rFonts w:ascii="Arial" w:cs="Arial" w:eastAsia="Arial" w:hAnsi="Arial"/>
                      <w:b/>
                      <w:bCs/>
                      <w:color w:val="555555"/>
                      <w:sz w:val="13"/>
                      <w:szCs w:val="13"/>
                    </w:rPr>
                    <w:t xml:space="preserve">Coordenadas</w:t>
                  </w:r>
                </w:p>
              </w:tc>
              <w:tc>
                <w:tcPr>
                  <w:tcW w:type="dxa" w:w="215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rPr>
                      <w:rFonts w:ascii="Arial" w:cs="Arial" w:eastAsia="Arial" w:hAnsi="Arial"/>
                      <w:color w:val="333333"/>
                      <w:sz w:val="15"/>
                      <w:szCs w:val="15"/>
                    </w:rPr>
                    <w:t xml:space="preserve">32.6505, -116.9712</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70"/>
                    <w:left w:type="dxa" w:w="0"/>
                    <w:bottom w:type="dxa" w:w="70"/>
                    <w:right w:type="dxa" w:w="60"/>
                  </w:tcMar>
                  <w:vAlign w:val="center"/>
                </w:tcPr>
                <w:p>
                  <w:r>
                    <w:rPr>
                      <w:rFonts w:ascii="Arial" w:cs="Arial" w:eastAsia="Arial" w:hAnsi="Arial"/>
                      <w:b/>
                      <w:bCs/>
                      <w:color w:val="555555"/>
                      <w:sz w:val="13"/>
                      <w:szCs w:val="13"/>
                    </w:rPr>
                    <w:t xml:space="preserve">Fuentes</w:t>
                  </w:r>
                </w:p>
              </w:tc>
              <w:tc>
                <w:tcPr>
                  <w:tcW w:type="dxa" w:w="215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rPr>
                      <w:rFonts w:ascii="Arial" w:cs="Arial" w:eastAsia="Arial" w:hAnsi="Arial"/>
                      <w:color w:val="333333"/>
                      <w:sz w:val="15"/>
                      <w:szCs w:val="15"/>
                    </w:rPr>
                    <w:t xml:space="preserve">ACS 2024 (U.S. Census Bureau) + MktCompass</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70"/>
                    <w:left w:type="dxa" w:w="0"/>
                    <w:bottom w:type="dxa" w:w="70"/>
                    <w:right w:type="dxa" w:w="60"/>
                  </w:tcMar>
                  <w:vAlign w:val="center"/>
                </w:tcPr>
                <w:p>
                  <w:r>
                    <w:rPr>
                      <w:rFonts w:ascii="Arial" w:cs="Arial" w:eastAsia="Arial" w:hAnsi="Arial"/>
                      <w:b/>
                      <w:bCs/>
                      <w:color w:val="555555"/>
                      <w:sz w:val="13"/>
                      <w:szCs w:val="13"/>
                    </w:rPr>
                    <w:t xml:space="preserve">Fecha del reporte</w:t>
                  </w:r>
                </w:p>
              </w:tc>
              <w:tc>
                <w:tcPr>
                  <w:tcW w:type="dxa" w:w="215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rPr>
                      <w:rFonts w:ascii="Arial" w:cs="Arial" w:eastAsia="Arial" w:hAnsi="Arial"/>
                      <w:color w:val="333333"/>
                      <w:sz w:val="15"/>
                      <w:szCs w:val="15"/>
                    </w:rPr>
                    <w:t xml:space="preserve">26 de agosto de 2026</w:t>
                  </w:r>
                </w:p>
              </w:tc>
            </w:tr>
          </w:tbl>
          <w:p/>
        </w:tc>
      </w:tr>
    </w:tbl>
    <w:p>
      <w:pPr>
        <w:sectPr>
          <w:headerReference w:type="default" r:id="rId7"/>
          <w:footerReference w:type="default" r:id="rId8"/>
          <w:pgSz w:w="12240" w:h="15840" w:orient="portrait"/>
          <w:pgMar w:top="1080" w:right="1080" w:bottom="1400" w:left="1080" w:header="708" w:footer="708" w:gutter="0"/>
          <w:pgNumType/>
          <w:docGrid w:linePitch="360"/>
        </w:sectPr>
      </w:pPr>
    </w:p>
    <w:p>
      <w:pPr>
        <w:keepNext/>
        <w:keepLines/>
        <w:pBdr>
          <w:bottom w:val="single" w:color="2E75B6" w:sz="12" w:space="4"/>
        </w:pBdr>
        <w:spacing w:after="80" w:before="240"/>
      </w:pPr>
      <w:r>
        <w:rPr>
          <w:rFonts w:ascii="Arial" w:cs="Arial" w:eastAsia="Arial" w:hAnsi="Arial"/>
          <w:b/>
          <w:bCs/>
          <w:i w:val="false"/>
          <w:iCs w:val="false"/>
          <w:color w:val="1B4F8A"/>
          <w:sz w:val="32"/>
          <w:szCs w:val="32"/>
        </w:rPr>
        <w:t xml:space="preserve">01  ·  INTRODUCCIÓN</w:t>
      </w:r>
    </w:p>
    <w:p>
      <w:pPr>
        <w:keepNext/>
        <w:keepLines/>
        <w:spacing w:after="160"/>
      </w:pPr>
      <w:r>
        <w:rPr>
          <w:rFonts w:ascii="Arial" w:cs="Arial" w:eastAsia="Arial" w:hAnsi="Arial"/>
          <w:b w:val="false"/>
          <w:bCs w:val="false"/>
          <w:i/>
          <w:iCs/>
          <w:color w:val="555555"/>
          <w:sz w:val="21"/>
          <w:szCs w:val="21"/>
        </w:rPr>
        <w:t xml:space="preserve">¿Por qué este análisis reduce el riesgo de tu inversión?</w:t>
      </w:r>
    </w:p>
    <w:p>
      <w:pPr>
        <w:spacing w:after="120" w:before="0"/>
        <w:jc w:val="left"/>
      </w:pPr>
      <w:r>
        <w:rPr>
          <w:rFonts w:ascii="Arial" w:cs="Arial" w:eastAsia="Arial" w:hAnsi="Arial"/>
          <w:b w:val="false"/>
          <w:bCs w:val="false"/>
          <w:i w:val="false"/>
          <w:iCs w:val="false"/>
          <w:color w:val="404040"/>
          <w:sz w:val="20"/>
          <w:szCs w:val="20"/>
        </w:rPr>
        <w:t xml:space="preserve">Este reporte presenta un análisis geoestadístico de la zona de Eastlake, en Chula Vista, California, delimitada por una isócrona de 10 minutos en automóvil. Una isócrona captura el mercado real de un negocio: todas las personas que pueden llegar a una ubicación dentro de un tiempo de traslado determinado, una referencia mucho más precisa del cliente potencial que un radio en línea recta.</w:t>
      </w:r>
    </w:p>
    <w:p>
      <w:pPr>
        <w:spacing w:after="120" w:before="0"/>
        <w:jc w:val="left"/>
      </w:pPr>
      <w:r>
        <w:rPr>
          <w:rFonts w:ascii="Arial" w:cs="Arial" w:eastAsia="Arial" w:hAnsi="Arial"/>
          <w:b w:val="false"/>
          <w:bCs w:val="false"/>
          <w:i w:val="false"/>
          <w:iCs w:val="false"/>
          <w:color w:val="404040"/>
          <w:sz w:val="20"/>
          <w:szCs w:val="20"/>
        </w:rPr>
        <w:t xml:space="preserve">Los datos provienen del American Community Survey (ACS) 2024, la encuesta nacional de hogares del U.S. Census Bureau, agregada a esta zona desde el nivel de block group, y se complementan con el directorio de comercios e instituciones de MktCompass. Juntas son la base más completa y confiable disponible hoy para el análisis de mercado en Estados Unidos.</w:t>
      </w:r>
    </w:p>
    <w:p>
      <w:pPr>
        <w:spacing w:after="120" w:before="0"/>
        <w:jc w:val="left"/>
      </w:pPr>
      <w:r>
        <w:rPr>
          <w:rFonts w:ascii="Arial" w:cs="Arial" w:eastAsia="Arial" w:hAnsi="Arial"/>
          <w:b w:val="false"/>
          <w:bCs w:val="false"/>
          <w:i w:val="false"/>
          <w:iCs w:val="false"/>
          <w:color w:val="404040"/>
          <w:sz w:val="22"/>
          <w:szCs w:val="22"/>
        </w:rPr>
        <w:t xml:space="preserve">El geomarketing responde tres preguntas fundamentales:</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¿Quiénes son mis clientes potenciales y cuánta capacidad de gasto tienen?</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¿Qué negocios ya existen en la zona y qué marcas los operan?</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¿Qué categorías muestran señales de demanda no cubierta y representan una oportunidad real?</w:t>
      </w:r>
    </w:p>
    <w:p>
      <w:pPr>
        <w:spacing w:after="60"/>
      </w:pPr>
      <w:r>
        <w:rPr>
          <w:rFonts w:ascii="Arial" w:cs="Arial" w:eastAsia="Arial" w:hAnsi="Arial"/>
          <w:b w:val="false"/>
          <w:bCs w:val="false"/>
          <w:i w:val="false"/>
          <w:iCs w:val="false"/>
          <w:color w:val="404040"/>
          <w:sz w:val="22"/>
          <w:szCs w:val="22"/>
        </w:rPr>
        <w:t xml:space="preserve"/>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2600"/>
        <w:gridCol w:w="6760"/>
      </w:tblGrid>
      <w:tr>
        <w:trPr>
          <w:cantSplit/>
          <w:tblHeader/>
        </w:trPr>
        <w:tc>
          <w:tcPr>
            <w:tcW w:type="dxa" w:w="26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
            </w:r>
          </w:p>
        </w:tc>
        <w:tc>
          <w:tcPr>
            <w:tcW w:type="dxa" w:w="67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Por qué importa</w:t>
            </w:r>
          </w:p>
        </w:tc>
      </w:tr>
      <w:tr>
        <w:trPr>
          <w:cantSplit/>
        </w:trPr>
        <w:tc>
          <w:tcPr>
            <w:tcW w:type="dxa" w:w="26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DATOS DUROS</w:t>
            </w:r>
          </w:p>
        </w:tc>
        <w:tc>
          <w:tcPr>
            <w:tcW w:type="dxa" w:w="67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Encuesta oficial del U.S. Census Bureau con cobertura nacional y metodología rigurosa.</w:t>
            </w:r>
          </w:p>
        </w:tc>
      </w:tr>
      <w:tr>
        <w:trPr>
          <w:cantSplit/>
        </w:trPr>
        <w:tc>
          <w:tcPr>
            <w:tcW w:type="dxa" w:w="26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PRECISIÓN</w:t>
            </w:r>
          </w:p>
        </w:tc>
        <w:tc>
          <w:tcPr>
            <w:tcW w:type="dxa" w:w="67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Delimitación geográfica exacta del mercado potencial por tiempo de traslado o distancia real.</w:t>
            </w:r>
          </w:p>
        </w:tc>
      </w:tr>
      <w:tr>
        <w:trPr>
          <w:cantSplit/>
        </w:trPr>
        <w:tc>
          <w:tcPr>
            <w:tcW w:type="dxa" w:w="26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INSIGHTS</w:t>
            </w:r>
          </w:p>
        </w:tc>
        <w:tc>
          <w:tcPr>
            <w:tcW w:type="dxa" w:w="67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Hallazgos accionables que reducen el riesgo de inversión y mejoran la toma de decisiones.</w:t>
            </w:r>
          </w:p>
        </w:tc>
      </w:tr>
      <w:tr>
        <w:trPr>
          <w:cantSplit/>
        </w:trPr>
        <w:tc>
          <w:tcPr>
            <w:tcW w:type="dxa" w:w="26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ACCIÓN</w:t>
            </w:r>
          </w:p>
        </w:tc>
        <w:tc>
          <w:tcPr>
            <w:tcW w:type="dxa" w:w="67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Identificación de hipótesis de demanda por validar y de categorías saturadas por evitar.</w:t>
            </w:r>
          </w:p>
        </w:tc>
      </w:tr>
    </w:tbl>
    <w:p>
      <w:pPr>
        <w:pBdr>
          <w:left w:val="single" w:color="2E75B6" w:sz="12" w:space="8"/>
        </w:pBdr>
        <w:spacing w:after="120" w:before="160"/>
        <w:ind w:left="120"/>
      </w:pPr>
      <w:r>
        <w:rPr>
          <w:rFonts w:ascii="Arial" w:cs="Arial" w:eastAsia="Arial" w:hAnsi="Arial"/>
          <w:b w:val="false"/>
          <w:bCs w:val="false"/>
          <w:i/>
          <w:iCs/>
          <w:color w:val="2E75B6"/>
          <w:sz w:val="20"/>
          <w:szCs w:val="20"/>
        </w:rPr>
        <w:t xml:space="preserve">Con el método claro, el primer paso es entender quién vive aquí — porque el primer paso para identificar una oportunidad es saber a quién se le va a vender.</w:t>
      </w:r>
    </w:p>
    <w:p>
      <w:r>
        <w:br w:type="page"/>
      </w:r>
    </w:p>
    <w:p>
      <w:pPr>
        <w:keepNext/>
        <w:keepLines/>
        <w:pBdr>
          <w:bottom w:val="single" w:color="2E75B6" w:sz="12" w:space="4"/>
        </w:pBdr>
        <w:spacing w:after="80" w:before="240"/>
      </w:pPr>
      <w:r>
        <w:rPr>
          <w:rFonts w:ascii="Arial" w:cs="Arial" w:eastAsia="Arial" w:hAnsi="Arial"/>
          <w:b/>
          <w:bCs/>
          <w:i w:val="false"/>
          <w:iCs w:val="false"/>
          <w:color w:val="1B4F8A"/>
          <w:sz w:val="32"/>
          <w:szCs w:val="32"/>
        </w:rPr>
        <w:t xml:space="preserve">02  ·  PERFIL DE LA POBLACIÓN Y CAPACIDAD DE GASTO</w:t>
      </w:r>
    </w:p>
    <w:p>
      <w:pPr>
        <w:keepNext/>
        <w:keepLines/>
        <w:spacing w:after="160"/>
      </w:pPr>
      <w:r>
        <w:rPr>
          <w:rFonts w:ascii="Arial" w:cs="Arial" w:eastAsia="Arial" w:hAnsi="Arial"/>
          <w:b w:val="false"/>
          <w:bCs w:val="false"/>
          <w:i/>
          <w:iCs/>
          <w:color w:val="555555"/>
          <w:sz w:val="21"/>
          <w:szCs w:val="21"/>
        </w:rPr>
        <w:t xml:space="preserve">¿Quiénes viven aquí, cuántos son y qué capacidad de gasto tienen?</w:t>
      </w:r>
    </w:p>
    <w:p>
      <w:pPr>
        <w:keepNext/>
        <w:keepLines/>
        <w:spacing w:after="100" w:before="200"/>
      </w:pPr>
      <w:r>
        <w:rPr>
          <w:rFonts w:ascii="Arial" w:cs="Arial" w:eastAsia="Arial" w:hAnsi="Arial"/>
          <w:b/>
          <w:bCs/>
          <w:i w:val="false"/>
          <w:iCs w:val="false"/>
          <w:color w:val="2E75B6"/>
          <w:sz w:val="26"/>
          <w:szCs w:val="26"/>
        </w:rPr>
        <w:t xml:space="preserve">Distribución del ingreso del hogar</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3560"/>
        <w:gridCol w:w="1900"/>
        <w:gridCol w:w="1600"/>
        <w:gridCol w:w="2300"/>
      </w:tblGrid>
      <w:tr>
        <w:trPr>
          <w:cantSplit/>
          <w:tblHeader/>
        </w:trPr>
        <w:tc>
          <w:tcPr>
            <w:tcW w:type="dxa" w:w="35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Ingreso anual del hogar</w:t>
            </w:r>
          </w:p>
        </w:tc>
        <w:tc>
          <w:tcPr>
            <w:tcW w:type="dxa" w:w="19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Hogares</w:t>
            </w:r>
          </w:p>
        </w:tc>
        <w:tc>
          <w:tcPr>
            <w:tcW w:type="dxa" w:w="16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 del total</w:t>
            </w:r>
          </w:p>
        </w:tc>
        <w:tc>
          <w:tcPr>
            <w:tcW w:type="dxa" w:w="23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Análisis</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Less than $10,000</w:t>
            </w:r>
          </w:p>
        </w:tc>
        <w:tc>
          <w:tcPr>
            <w:tcW w:type="dxa" w:w="19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1,593</w:t>
            </w:r>
          </w:p>
        </w:tc>
        <w:tc>
          <w:tcPr>
            <w:tcW w:type="dxa" w:w="16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3.5%</w:t>
            </w:r>
          </w:p>
        </w:tc>
        <w:tc>
          <w:tcPr>
            <w:tcW w:type="dxa" w:w="23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$10,000 to $19,999</w:t>
            </w:r>
          </w:p>
        </w:tc>
        <w:tc>
          <w:tcPr>
            <w:tcW w:type="dxa" w:w="19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1,774</w:t>
            </w:r>
          </w:p>
        </w:tc>
        <w:tc>
          <w:tcPr>
            <w:tcW w:type="dxa" w:w="16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3.9%</w:t>
            </w:r>
          </w:p>
        </w:tc>
        <w:tc>
          <w:tcPr>
            <w:tcW w:type="dxa" w:w="23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$20,000 to $34,999</w:t>
            </w:r>
          </w:p>
        </w:tc>
        <w:tc>
          <w:tcPr>
            <w:tcW w:type="dxa" w:w="19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2,837</w:t>
            </w:r>
          </w:p>
        </w:tc>
        <w:tc>
          <w:tcPr>
            <w:tcW w:type="dxa" w:w="16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6.3%</w:t>
            </w:r>
          </w:p>
        </w:tc>
        <w:tc>
          <w:tcPr>
            <w:tcW w:type="dxa" w:w="23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$35,000 to $59,999</w:t>
            </w:r>
          </w:p>
        </w:tc>
        <w:tc>
          <w:tcPr>
            <w:tcW w:type="dxa" w:w="19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6,215</w:t>
            </w:r>
          </w:p>
        </w:tc>
        <w:tc>
          <w:tcPr>
            <w:tcW w:type="dxa" w:w="16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13.7%</w:t>
            </w:r>
          </w:p>
        </w:tc>
        <w:tc>
          <w:tcPr>
            <w:tcW w:type="dxa" w:w="23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$60,000 to $99,999</w:t>
            </w:r>
          </w:p>
        </w:tc>
        <w:tc>
          <w:tcPr>
            <w:tcW w:type="dxa" w:w="19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9,109</w:t>
            </w:r>
          </w:p>
        </w:tc>
        <w:tc>
          <w:tcPr>
            <w:tcW w:type="dxa" w:w="16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20.1%</w:t>
            </w:r>
          </w:p>
        </w:tc>
        <w:tc>
          <w:tcPr>
            <w:tcW w:type="dxa" w:w="23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$100,000 to $149,999</w:t>
            </w:r>
          </w:p>
        </w:tc>
        <w:tc>
          <w:tcPr>
            <w:tcW w:type="dxa" w:w="19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10,600</w:t>
            </w:r>
          </w:p>
        </w:tc>
        <w:tc>
          <w:tcPr>
            <w:tcW w:type="dxa" w:w="16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23.4%</w:t>
            </w:r>
          </w:p>
        </w:tc>
        <w:tc>
          <w:tcPr>
            <w:tcW w:type="dxa" w:w="23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$150,000 to $199,999</w:t>
            </w:r>
          </w:p>
        </w:tc>
        <w:tc>
          <w:tcPr>
            <w:tcW w:type="dxa" w:w="19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5,812</w:t>
            </w:r>
          </w:p>
        </w:tc>
        <w:tc>
          <w:tcPr>
            <w:tcW w:type="dxa" w:w="16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12.8%</w:t>
            </w:r>
          </w:p>
        </w:tc>
        <w:tc>
          <w:tcPr>
            <w:tcW w:type="dxa" w:w="23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$200,000 or more</w:t>
            </w:r>
          </w:p>
        </w:tc>
        <w:tc>
          <w:tcPr>
            <w:tcW w:type="dxa" w:w="19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7,341</w:t>
            </w:r>
          </w:p>
        </w:tc>
        <w:tc>
          <w:tcPr>
            <w:tcW w:type="dxa" w:w="16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16.2%</w:t>
            </w:r>
          </w:p>
        </w:tc>
        <w:tc>
          <w:tcPr>
            <w:tcW w:type="dxa" w:w="23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Total de hogares</w:t>
            </w:r>
          </w:p>
        </w:tc>
        <w:tc>
          <w:tcPr>
            <w:tcW w:type="dxa" w:w="1900"/>
            <w:shd w:fill="FFFFFF"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45,281</w:t>
            </w:r>
          </w:p>
        </w:tc>
        <w:tc>
          <w:tcPr>
            <w:tcW w:type="dxa" w:w="1600"/>
            <w:shd w:fill="FFFFFF"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100%</w:t>
            </w:r>
          </w:p>
        </w:tc>
        <w:tc>
          <w:tcPr>
            <w:tcW w:type="dxa" w:w="23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t>
            </w:r>
          </w:p>
        </w:tc>
      </w:tr>
    </w:tbl>
    <w:tbl>
      <w:tblPr>
        <w:tblW w:type="dxa" w:w="9360"/>
        <w:tblBorders>
          <w:top w:val="single" w:color="D5E8F0" w:sz="6"/>
          <w:left w:val="single" w:color="D5E8F0" w:sz="6"/>
          <w:bottom w:val="single" w:color="D5E8F0" w:sz="6"/>
          <w:right w:val="single" w:color="D5E8F0" w:sz="6"/>
          <w:insideH w:val="none"/>
          <w:insideV w:val="none"/>
        </w:tblBorders>
      </w:tblPr>
      <w:tblGrid>
        <w:gridCol w:w="9360"/>
      </w:tblGrid>
      <w:tr>
        <w:trPr>
          <w:cantSplit/>
        </w:trPr>
        <w:tc>
          <w:tcPr>
            <w:tcW w:type="dxa" w:w="9360"/>
            <w:shd w:fill="D5E8F0" w:val="clear"/>
            <w:tcMar>
              <w:top w:type="dxa" w:w="100"/>
              <w:left w:type="dxa" w:w="140"/>
              <w:bottom w:type="dxa" w:w="100"/>
              <w:right w:type="dxa" w:w="140"/>
            </w:tcMar>
          </w:tcPr>
          <w:p>
            <w:r>
              <w:rPr>
                <w:rFonts w:ascii="Arial" w:cs="Arial" w:eastAsia="Arial" w:hAnsi="Arial"/>
                <w:b/>
                <w:bCs/>
                <w:i w:val="false"/>
                <w:iCs w:val="false"/>
                <w:color w:val="0D2F55"/>
                <w:sz w:val="20"/>
                <w:szCs w:val="20"/>
              </w:rPr>
              <w:t xml:space="preserve">Ingreso medio del hogar: $109,106  —  </w:t>
            </w:r>
            <w:r>
              <w:rPr>
                <w:rFonts w:ascii="Arial" w:cs="Arial" w:eastAsia="Arial" w:hAnsi="Arial"/>
                <w:b w:val="false"/>
                <w:bCs w:val="false"/>
                <w:i w:val="false"/>
                <w:iCs w:val="false"/>
                <w:color w:val="333333"/>
                <w:sz w:val="19"/>
                <w:szCs w:val="19"/>
              </w:rPr>
              <w:t xml:space="preserve">Análisis vs. promedio nacional: Muy alto.</w:t>
            </w:r>
          </w:p>
        </w:tc>
      </w:tr>
    </w:tbl>
    <w:p>
      <w:pPr>
        <w:spacing w:after="120" w:before="0"/>
        <w:jc w:val="left"/>
      </w:pPr>
      <w:r>
        <w:rPr>
          <w:rFonts w:ascii="Arial" w:cs="Arial" w:eastAsia="Arial" w:hAnsi="Arial"/>
          <w:b w:val="false"/>
          <w:bCs w:val="false"/>
          <w:i w:val="false"/>
          <w:iCs w:val="false"/>
          <w:color w:val="404040"/>
          <w:sz w:val="22"/>
          <w:szCs w:val="22"/>
        </w:rPr>
        <w:t xml:space="preserve">La mediana del ingreso del hogar es de $109,106, muy por encima del promedio nacional urbano (Very high), y el bracket con más hogares es $100,000 a $149,999 con 10,600 hogares (23.4%). La cola alta es sólida: 23,753 hogares (52.4%) superan los $100,000 y 7,341 (16.2%) superan los $200,000. Solo 6,204 hogares (13.7%) están por debajo de $35,000. Es un mercado de ingreso alto y consolidado, no un mercado bimodal ni frágil: el poder de compra sostiene precios medios y medio-altos con volumen real detrás.</w:t>
      </w:r>
    </w:p>
    <w:p>
      <w:pPr>
        <w:keepNext/>
        <w:keepLines/>
        <w:spacing w:after="100" w:before="200"/>
      </w:pPr>
      <w:r>
        <w:rPr>
          <w:rFonts w:ascii="Arial" w:cs="Arial" w:eastAsia="Arial" w:hAnsi="Arial"/>
          <w:b/>
          <w:bCs/>
          <w:i w:val="false"/>
          <w:iCs w:val="false"/>
          <w:color w:val="2E75B6"/>
          <w:sz w:val="26"/>
          <w:szCs w:val="26"/>
        </w:rPr>
        <w:t xml:space="preserve">Población por edad y género</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2560"/>
        <w:gridCol w:w="1360"/>
        <w:gridCol w:w="1360"/>
        <w:gridCol w:w="1360"/>
        <w:gridCol w:w="1360"/>
        <w:gridCol w:w="1360"/>
      </w:tblGrid>
      <w:tr>
        <w:trPr>
          <w:cantSplit/>
          <w:tblHeader/>
        </w:trPr>
        <w:tc>
          <w:tcPr>
            <w:tcW w:type="dxa" w:w="25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Grupo de edad</w:t>
            </w:r>
          </w:p>
        </w:tc>
        <w:tc>
          <w:tcPr>
            <w:tcW w:type="dxa" w:w="13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Hombres</w:t>
            </w:r>
          </w:p>
        </w:tc>
        <w:tc>
          <w:tcPr>
            <w:tcW w:type="dxa" w:w="13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Mujeres</w:t>
            </w:r>
          </w:p>
        </w:tc>
        <w:tc>
          <w:tcPr>
            <w:tcW w:type="dxa" w:w="13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Total</w:t>
            </w:r>
          </w:p>
        </w:tc>
        <w:tc>
          <w:tcPr>
            <w:tcW w:type="dxa" w:w="13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w:t>
            </w:r>
          </w:p>
        </w:tc>
        <w:tc>
          <w:tcPr>
            <w:tcW w:type="dxa" w:w="13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Análisis</w:t>
            </w:r>
          </w:p>
        </w:tc>
      </w:tr>
      <w:tr>
        <w:trPr>
          <w:cantSplit/>
        </w:trPr>
        <w:tc>
          <w:tcPr>
            <w:tcW w:type="dxa" w:w="2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Under 5 years</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3,515</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3,518</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7,033</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4.9%</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r>
        <w:trPr>
          <w:cantSplit/>
        </w:trPr>
        <w:tc>
          <w:tcPr>
            <w:tcW w:type="dxa" w:w="2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 to 9 years</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4,601</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4,820</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9,421</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6.5%</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2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 to 14 years</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5,111</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4,344</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9,455</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6.5%</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2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15 to 19 years</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4,194</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4,819</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9,013</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6.2%</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2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20 to 29 years</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9,561</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9,415</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18,976</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13.1%</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r>
        <w:trPr>
          <w:cantSplit/>
        </w:trPr>
        <w:tc>
          <w:tcPr>
            <w:tcW w:type="dxa" w:w="2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30 to 39 years</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11,036</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9,609</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20,645</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14.3%</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2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40 to 49 years</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9,302</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9,263</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18,565</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12.8%</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2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50 to 59 years</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8,722</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9,436</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18,158</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12.6%</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2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60 to 69 years</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8,020</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8,914</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16,934</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11.7%</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2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70 to 79 years</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5,384</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5,741</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11,125</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7.7%</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2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80 years and over</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2,030</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3,319</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5,349</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3.7%</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2560"/>
            <w:shd w:fill="F5F8FC"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Total population 2024</w:t>
            </w:r>
          </w:p>
        </w:tc>
        <w:tc>
          <w:tcPr>
            <w:tcW w:type="dxa" w:w="1360"/>
            <w:shd w:fill="F5F8FC"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71,476</w:t>
            </w:r>
          </w:p>
        </w:tc>
        <w:tc>
          <w:tcPr>
            <w:tcW w:type="dxa" w:w="1360"/>
            <w:shd w:fill="F5F8FC"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105,253</w:t>
            </w:r>
          </w:p>
        </w:tc>
        <w:tc>
          <w:tcPr>
            <w:tcW w:type="dxa" w:w="1360"/>
            <w:shd w:fill="F5F8FC"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144,674</w:t>
            </w:r>
          </w:p>
        </w:tc>
        <w:tc>
          <w:tcPr>
            <w:tcW w:type="dxa" w:w="1360"/>
            <w:shd w:fill="F5F8FC"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100%</w:t>
            </w:r>
          </w:p>
        </w:tc>
        <w:tc>
          <w:tcPr>
            <w:tcW w:type="dxa" w:w="13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t>
            </w:r>
          </w:p>
        </w:tc>
      </w:tr>
      <w:tr>
        <w:trPr>
          <w:cantSplit/>
        </w:trPr>
        <w:tc>
          <w:tcPr>
            <w:tcW w:type="dxa" w:w="2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Total population 2019</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107,803</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N/D</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213,056</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-32.1%</w:t>
            </w:r>
          </w:p>
        </w:tc>
        <w:tc>
          <w:tcPr>
            <w:tcW w:type="dxa" w:w="13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t>
            </w:r>
          </w:p>
        </w:tc>
      </w:tr>
    </w:tbl>
    <w:p>
      <w:pPr>
        <w:spacing w:after="120" w:before="0"/>
        <w:jc w:val="left"/>
      </w:pPr>
      <w:r>
        <w:rPr>
          <w:rFonts w:ascii="Arial" w:cs="Arial" w:eastAsia="Arial" w:hAnsi="Arial"/>
          <w:b w:val="false"/>
          <w:bCs w:val="false"/>
          <w:i w:val="false"/>
          <w:iCs w:val="false"/>
          <w:color w:val="404040"/>
          <w:sz w:val="22"/>
          <w:szCs w:val="22"/>
        </w:rPr>
        <w:t xml:space="preserve">El segmento más numeroso es el de adultos de 30 a 49 años, con 39,210 personas (27.1%), seguido de cerca por los adultos maduros de 50 a 69 años, con 35,092 (24.3%). Juntos concentran más de la mitad de la población. Los jóvenes de 20 a 29 años (18,976, 13.1%) y los niños de 0 a 9 años (16,454, 11.4%) también representan volúmenes considerables. Es un perfil de familias establecidas y adultos en edad productiva, no un mercado dominado por jóvenes solteros ni por adultos mayores.</w:t>
      </w:r>
    </w:p>
    <w:p>
      <w:pPr>
        <w:keepNext/>
        <w:keepLines/>
        <w:spacing w:after="100" w:before="200"/>
      </w:pPr>
      <w:r>
        <w:rPr>
          <w:rFonts w:ascii="Arial" w:cs="Arial" w:eastAsia="Arial" w:hAnsi="Arial"/>
          <w:b/>
          <w:bCs/>
          <w:i w:val="false"/>
          <w:iCs w:val="false"/>
          <w:color w:val="2E75B6"/>
          <w:sz w:val="26"/>
          <w:szCs w:val="26"/>
        </w:rPr>
        <w:t xml:space="preserve">Raza y etnicidad</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3560"/>
        <w:gridCol w:w="2000"/>
        <w:gridCol w:w="1800"/>
        <w:gridCol w:w="2000"/>
      </w:tblGrid>
      <w:tr>
        <w:trPr>
          <w:cantSplit/>
          <w:tblHeader/>
        </w:trPr>
        <w:tc>
          <w:tcPr>
            <w:tcW w:type="dxa" w:w="35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Categoría</w:t>
            </w:r>
          </w:p>
        </w:tc>
        <w:tc>
          <w:tcPr>
            <w:tcW w:type="dxa" w:w="2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Población</w:t>
            </w:r>
          </w:p>
        </w:tc>
        <w:tc>
          <w:tcPr>
            <w:tcW w:type="dxa" w:w="18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 del total</w:t>
            </w:r>
          </w:p>
        </w:tc>
        <w:tc>
          <w:tcPr>
            <w:tcW w:type="dxa" w:w="2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Análisis</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White population</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27,884</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19.3%</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Black or African American population</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12,018</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8.3%</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American Indian and Alaska Native population</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218</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0.2%</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Asian population</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25,903</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17.9%</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Native Hawaiian and Other Pacific Islander population</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656</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0.5%</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Some other race population</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713</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0.5%</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Two or more races population</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6,767</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4.7%</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Hispanic or Latino population</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70,515</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48.7%</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3560"/>
            <w:shd w:fill="FFFFFF"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Total population</w:t>
            </w:r>
          </w:p>
        </w:tc>
        <w:tc>
          <w:tcPr>
            <w:tcW w:type="dxa" w:w="2000"/>
            <w:shd w:fill="FFFFFF"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144,674</w:t>
            </w:r>
          </w:p>
        </w:tc>
        <w:tc>
          <w:tcPr>
            <w:tcW w:type="dxa" w:w="1800"/>
            <w:shd w:fill="FFFFFF"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100%</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t>
            </w:r>
          </w:p>
        </w:tc>
      </w:tr>
    </w:tbl>
    <w:p>
      <w:pPr>
        <w:spacing w:after="120" w:before="0"/>
        <w:jc w:val="left"/>
      </w:pPr>
      <w:r>
        <w:rPr>
          <w:rFonts w:ascii="Arial" w:cs="Arial" w:eastAsia="Arial" w:hAnsi="Arial"/>
          <w:b w:val="false"/>
          <w:bCs w:val="false"/>
          <w:i w:val="false"/>
          <w:iCs w:val="false"/>
          <w:color w:val="404040"/>
          <w:sz w:val="22"/>
          <w:szCs w:val="22"/>
        </w:rPr>
        <w:t xml:space="preserve">La comunidad es mayoritariamente hispana o latina, con 70,515 residentes (48.7% de la población total), seguida por la población blanca (27,884, 19.3%) y una presencia asiática significativa (25,903, 17.9%); la población afroamericana suma 12,018 residentes (8.3%). Esta composición no es un dato demográfico aislado: define qué tipo de oferta comercial encaja de forma natural con la mayoría de los residentes, un punto que se retoma con fuerza en la sección de hipótesis de demanda.</w:t>
      </w:r>
    </w:p>
    <w:p>
      <w:pPr>
        <w:keepNext/>
        <w:keepLines/>
        <w:spacing w:after="100" w:before="200"/>
      </w:pPr>
      <w:r>
        <w:rPr>
          <w:rFonts w:ascii="Arial" w:cs="Arial" w:eastAsia="Arial" w:hAnsi="Arial"/>
          <w:b/>
          <w:bCs/>
          <w:i w:val="false"/>
          <w:iCs w:val="false"/>
          <w:color w:val="2E75B6"/>
          <w:sz w:val="26"/>
          <w:szCs w:val="26"/>
        </w:rPr>
        <w:t xml:space="preserve">Cobertura de seguro de salud</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3560"/>
        <w:gridCol w:w="2000"/>
        <w:gridCol w:w="1800"/>
        <w:gridCol w:w="2000"/>
      </w:tblGrid>
      <w:tr>
        <w:trPr>
          <w:cantSplit/>
          <w:tblHeader/>
        </w:trPr>
        <w:tc>
          <w:tcPr>
            <w:tcW w:type="dxa" w:w="35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Categoría</w:t>
            </w:r>
          </w:p>
        </w:tc>
        <w:tc>
          <w:tcPr>
            <w:tcW w:type="dxa" w:w="2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Población</w:t>
            </w:r>
          </w:p>
        </w:tc>
        <w:tc>
          <w:tcPr>
            <w:tcW w:type="dxa" w:w="18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 del total</w:t>
            </w:r>
          </w:p>
        </w:tc>
        <w:tc>
          <w:tcPr>
            <w:tcW w:type="dxa" w:w="2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Análisis</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Private health insurance Employer-based  only</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62,366</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43.9%</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Private health insurance only</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73,224</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51.5%</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Private health insurance Direct-purchase only</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6,472</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4.6%</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Public coverage Medicare coverage only</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8,078</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5.7%</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Public coverage only</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41,525</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29.2%</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Public coverage Medicaid/means-tested only</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24,268</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17.1%</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Public coverage TRICARE/military health coverage only</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4,817</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3.4%</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Public coverage Veterans Affairs health care only</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557</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0.4%</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Two or more types of health insurance coverage</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27,391</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19.3%</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Private and public health insurance coverage</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19,200</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13.5%</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Population with no insurance</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8,108</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5.7%</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bl>
    <w:p>
      <w:pPr>
        <w:spacing w:after="120" w:before="0"/>
        <w:jc w:val="left"/>
      </w:pPr>
      <w:r>
        <w:rPr>
          <w:rFonts w:ascii="Arial" w:cs="Arial" w:eastAsia="Arial" w:hAnsi="Arial"/>
          <w:b w:val="false"/>
          <w:bCs w:val="false"/>
          <w:i w:val="false"/>
          <w:iCs w:val="false"/>
          <w:color w:val="404040"/>
          <w:sz w:val="22"/>
          <w:szCs w:val="22"/>
        </w:rPr>
        <w:t xml:space="preserve">La cobertura de salud es alta: solo 8,108 residentes (5.7%, Very low) no tienen seguro. La cobertura privada domina, con 62,366 residentes (43.9%, High) bajo seguro basado en empleador. Destaca también la cobertura militar: TRICARE alcanza a 4,817 residentes (3.4%, Very high) y la cobertura de Veteran Affairs a 557 (0.4%, Very high) — una señal, junto con la presencia de Navy Federal Credit Union como marca líder entre los bancos del panorama POI, de una población con vínculos militares o de veteranos relevante en la zona.</w:t>
      </w:r>
    </w:p>
    <w:p>
      <w:pPr>
        <w:keepNext/>
        <w:keepLines/>
        <w:spacing w:after="100" w:before="200"/>
      </w:pPr>
      <w:r>
        <w:rPr>
          <w:rFonts w:ascii="Arial" w:cs="Arial" w:eastAsia="Arial" w:hAnsi="Arial"/>
          <w:b/>
          <w:bCs/>
          <w:i w:val="false"/>
          <w:iCs w:val="false"/>
          <w:color w:val="2E75B6"/>
          <w:sz w:val="26"/>
          <w:szCs w:val="26"/>
        </w:rPr>
        <w:t xml:space="preserve">Acceso digital en el hogar (computadoras e internet)</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3560"/>
        <w:gridCol w:w="2000"/>
        <w:gridCol w:w="1800"/>
        <w:gridCol w:w="2000"/>
      </w:tblGrid>
      <w:tr>
        <w:trPr>
          <w:cantSplit/>
          <w:tblHeader/>
        </w:trPr>
        <w:tc>
          <w:tcPr>
            <w:tcW w:type="dxa" w:w="35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Dispositivo / acceso</w:t>
            </w:r>
          </w:p>
        </w:tc>
        <w:tc>
          <w:tcPr>
            <w:tcW w:type="dxa" w:w="2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Hogares</w:t>
            </w:r>
          </w:p>
        </w:tc>
        <w:tc>
          <w:tcPr>
            <w:tcW w:type="dxa" w:w="18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 penetración</w:t>
            </w:r>
          </w:p>
        </w:tc>
        <w:tc>
          <w:tcPr>
            <w:tcW w:type="dxa" w:w="2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Análisis</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Has computing device</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43,851</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96.8%</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Desktop or laptop</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38,408</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84.8%</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Desktop/laptop only</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865</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1.9%</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Smartphone</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42,369</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93.6%</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Smartphone only</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3,362</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7.4%</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Tablet/portable</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31,850</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70.3%</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Tablet only</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178</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0.4%</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Other computer</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1,962</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4.3%</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Other computer only</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N/D</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0.0%</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No computer</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1,430</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3.2%</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With Internet subscription</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42,774</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94.5%</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Dial-up only</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26</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0.1%</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Broadband any type</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42,748</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94.4%</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Cellular data plan</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40,789</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90.1%</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Cellular only</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4,675</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10.3%</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Cable/Fiber/DSL</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37,002</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81.7%</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Cable/Fiber/DSL only</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1,659</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3.7%</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Satellite service</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2,937</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6.5%</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Satellite only</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161</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0.4%</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Other service only</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33</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0.1%</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Internet no subscription</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411</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0.9%</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No Internet access</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2,096</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4.6%</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bl>
    <w:p>
      <w:pPr>
        <w:spacing w:after="120" w:before="0"/>
        <w:jc w:val="left"/>
      </w:pPr>
      <w:r>
        <w:rPr>
          <w:rFonts w:ascii="Arial" w:cs="Arial" w:eastAsia="Arial" w:hAnsi="Arial"/>
          <w:b w:val="false"/>
          <w:bCs w:val="false"/>
          <w:i w:val="false"/>
          <w:iCs w:val="false"/>
          <w:color w:val="404040"/>
          <w:sz w:val="22"/>
          <w:szCs w:val="22"/>
        </w:rPr>
        <w:t xml:space="preserve">La penetración digital es casi universal: 43,851 hogares (96.8%) cuentan con algún dispositivo de cómputo y 42,774 (94.5%) tienen suscripción a internet, la gran mayoría de banda ancha. Un negocio sin canal digital —pedidos en línea, entrega a domicilio, lealtad por app— deja demanda sobre la mesa en esta zona.</w:t>
      </w:r>
    </w:p>
    <w:p>
      <w:pPr>
        <w:keepNext/>
        <w:keepLines/>
        <w:spacing w:after="100" w:before="200"/>
      </w:pPr>
      <w:r>
        <w:rPr>
          <w:rFonts w:ascii="Arial" w:cs="Arial" w:eastAsia="Arial" w:hAnsi="Arial"/>
          <w:b/>
          <w:bCs/>
          <w:i w:val="false"/>
          <w:iCs w:val="false"/>
          <w:color w:val="2E75B6"/>
          <w:sz w:val="26"/>
          <w:szCs w:val="26"/>
        </w:rPr>
        <w:t xml:space="preserve">Insights socioeconómicos clave</w:t>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01</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INGRESO ALTO CON VOLUMEN REAL DETRÁS</w:t>
            </w:r>
          </w:p>
          <w:p>
            <w:r>
              <w:rPr>
                <w:rFonts w:ascii="Arial" w:cs="Arial" w:eastAsia="Arial" w:hAnsi="Arial"/>
                <w:b w:val="false"/>
                <w:bCs w:val="false"/>
                <w:i/>
                <w:iCs/>
                <w:color w:val="404040"/>
                <w:sz w:val="18"/>
                <w:szCs w:val="18"/>
              </w:rPr>
              <w:t xml:space="preserve">Una mediana de $109,106 más 7,341 hogares (16.2%) sobre los $200,000 significa que el mercado acepta precios medios y medio-altos con una base amplia, no solo con un nicho pequeño.</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02</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ADULTOS EN EDAD PRODUCTIVA, NO JÓVENES SOLTEROS</w:t>
            </w:r>
          </w:p>
          <w:p>
            <w:r>
              <w:rPr>
                <w:rFonts w:ascii="Arial" w:cs="Arial" w:eastAsia="Arial" w:hAnsi="Arial"/>
                <w:b w:val="false"/>
                <w:bCs w:val="false"/>
                <w:i/>
                <w:iCs/>
                <w:color w:val="404040"/>
                <w:sz w:val="18"/>
                <w:szCs w:val="18"/>
              </w:rPr>
              <w:t xml:space="preserve">Los adultos de 30 a 49 años (39,210, 27.1%) y de 50 a 69 años (35,092, 24.3%) concentran más de la mitad de la población: un mercado de familias y profesionales establecidos.</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03</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LA CAÍDA POBLACIONAL 2019-2024 ES UN ARTEFACTO DE ESTIMACIÓN, NO UN ÉXODO</w:t>
            </w:r>
          </w:p>
          <w:p>
            <w:r>
              <w:rPr>
                <w:rFonts w:ascii="Arial" w:cs="Arial" w:eastAsia="Arial" w:hAnsi="Arial"/>
                <w:b w:val="false"/>
                <w:bCs w:val="false"/>
                <w:i/>
                <w:iCs/>
                <w:color w:val="404040"/>
                <w:sz w:val="18"/>
                <w:szCs w:val="18"/>
              </w:rPr>
              <w:t xml:space="preserve">La oscilación de -32.1% frente a 2019 excede por mucho el umbral de plausibilidad para un block group del ACS. La planeación debe apoyarse en la base 2024 (144,674 residentes, 45,281 hogares), no en una narrativa de pérdida de población.</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04</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CONECTIVIDAD DIGITAL CASI TOTAL</w:t>
            </w:r>
          </w:p>
          <w:p>
            <w:r>
              <w:rPr>
                <w:rFonts w:ascii="Arial" w:cs="Arial" w:eastAsia="Arial" w:hAnsi="Arial"/>
                <w:b w:val="false"/>
                <w:bCs w:val="false"/>
                <w:i/>
                <w:iCs/>
                <w:color w:val="404040"/>
                <w:sz w:val="18"/>
                <w:szCs w:val="18"/>
              </w:rPr>
              <w:t xml:space="preserve">Con 94.5% de los hogares (42,774) suscritos a internet, el canal digital —pedidos, entrega, lealtad por app— es una condición base, no un diferenciador.</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05</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POBLACIÓN BIEN ASEGURADA, CON UNA HUELLA MILITAR VISIBLE</w:t>
            </w:r>
          </w:p>
          <w:p>
            <w:r>
              <w:rPr>
                <w:rFonts w:ascii="Arial" w:cs="Arial" w:eastAsia="Arial" w:hAnsi="Arial"/>
                <w:b w:val="false"/>
                <w:bCs w:val="false"/>
                <w:i/>
                <w:iCs/>
                <w:color w:val="404040"/>
                <w:sz w:val="18"/>
                <w:szCs w:val="18"/>
              </w:rPr>
              <w:t xml:space="preserve">Solo 5.7% (8,108 residentes) no tiene seguro. La cobertura TRICARE (4,817, 3.4%) y de Veteran Affairs (557, 0.4%), ambas Very high, apuntan a un segmento con vínculos militares o de veteranos que vale la pena tener presente al calibrar formatos y horarios.</w:t>
            </w:r>
          </w:p>
        </w:tc>
      </w:tr>
    </w:tbl>
    <w:p>
      <w:pPr>
        <w:spacing w:after="40"/>
      </w:pPr>
      <w:r>
        <w:rPr>
          <w:rFonts w:ascii="Arial" w:cs="Arial" w:eastAsia="Arial" w:hAnsi="Arial"/>
          <w:b w:val="false"/>
          <w:bCs w:val="false"/>
          <w:i w:val="false"/>
          <w:iCs w:val="false"/>
          <w:color w:val="404040"/>
          <w:sz w:val="22"/>
          <w:szCs w:val="22"/>
        </w:rPr>
        <w:t xml:space="preserve"/>
      </w:r>
    </w:p>
    <w:p>
      <w:pPr>
        <w:pBdr>
          <w:left w:val="single" w:color="2E75B6" w:sz="12" w:space="8"/>
        </w:pBdr>
        <w:spacing w:after="120" w:before="160"/>
        <w:ind w:left="120"/>
      </w:pPr>
      <w:r>
        <w:rPr>
          <w:rFonts w:ascii="Arial" w:cs="Arial" w:eastAsia="Arial" w:hAnsi="Arial"/>
          <w:b w:val="false"/>
          <w:bCs w:val="false"/>
          <w:i/>
          <w:iCs/>
          <w:color w:val="2E75B6"/>
          <w:sz w:val="20"/>
          <w:szCs w:val="20"/>
        </w:rPr>
        <w:t xml:space="preserve">Ya sabemos quiénes son los residentes. Ahora hay que entender cómo trabajan y se mueven — porque su ocupación y su hora de salida abren ventanas de consumo muy específicas durante el día.</w:t>
      </w:r>
    </w:p>
    <w:p>
      <w:r>
        <w:br w:type="page"/>
      </w:r>
    </w:p>
    <w:p>
      <w:pPr>
        <w:keepNext/>
        <w:keepLines/>
        <w:pBdr>
          <w:bottom w:val="single" w:color="2E75B6" w:sz="12" w:space="4"/>
        </w:pBdr>
        <w:spacing w:after="80" w:before="240"/>
      </w:pPr>
      <w:r>
        <w:rPr>
          <w:rFonts w:ascii="Arial" w:cs="Arial" w:eastAsia="Arial" w:hAnsi="Arial"/>
          <w:b/>
          <w:bCs/>
          <w:i w:val="false"/>
          <w:iCs w:val="false"/>
          <w:color w:val="1B4F8A"/>
          <w:sz w:val="32"/>
          <w:szCs w:val="32"/>
        </w:rPr>
        <w:t xml:space="preserve">03  ·  PERFIL LABORAL Y DE MOVILIDAD DE LOS RESIDENTES</w:t>
      </w:r>
    </w:p>
    <w:p>
      <w:pPr>
        <w:keepNext/>
        <w:keepLines/>
        <w:spacing w:after="160"/>
      </w:pPr>
      <w:r>
        <w:rPr>
          <w:rFonts w:ascii="Arial" w:cs="Arial" w:eastAsia="Arial" w:hAnsi="Arial"/>
          <w:b w:val="false"/>
          <w:bCs w:val="false"/>
          <w:i/>
          <w:iCs/>
          <w:color w:val="555555"/>
          <w:sz w:val="21"/>
          <w:szCs w:val="21"/>
        </w:rPr>
        <w:t xml:space="preserve">¿A qué se dedican los habitantes, cómo se mueven y qué ventanas de consumo abre eso?</w:t>
      </w:r>
    </w:p>
    <w:tbl>
      <w:tblPr>
        <w:tblW w:type="dxa" w:w="9360"/>
        <w:tblBorders>
          <w:top w:val="single" w:color="FFF2CC" w:sz="6"/>
          <w:left w:val="single" w:color="FFF2CC" w:sz="6"/>
          <w:bottom w:val="single" w:color="FFF2CC" w:sz="6"/>
          <w:right w:val="single" w:color="FFF2CC" w:sz="6"/>
          <w:insideH w:val="none"/>
          <w:insideV w:val="none"/>
        </w:tblBorders>
      </w:tblPr>
      <w:tblGrid>
        <w:gridCol w:w="9360"/>
      </w:tblGrid>
      <w:tr>
        <w:trPr>
          <w:cantSplit/>
        </w:trPr>
        <w:tc>
          <w:tcPr>
            <w:tcW w:type="dxa" w:w="9360"/>
            <w:shd w:fill="FFF2CC" w:val="clear"/>
            <w:tcMar>
              <w:top w:type="dxa" w:w="100"/>
              <w:left w:type="dxa" w:w="140"/>
              <w:bottom w:type="dxa" w:w="100"/>
              <w:right w:type="dxa" w:w="140"/>
            </w:tcMar>
          </w:tcPr>
          <w:p>
            <w:r>
              <w:rPr>
                <w:rFonts w:ascii="Arial" w:cs="Arial" w:eastAsia="Arial" w:hAnsi="Arial"/>
                <w:b/>
                <w:bCs/>
                <w:i w:val="false"/>
                <w:iCs w:val="false"/>
                <w:color w:val="7D6808"/>
                <w:sz w:val="18"/>
                <w:szCs w:val="18"/>
              </w:rPr>
              <w:t xml:space="preserve">Nota metodológica:  </w:t>
            </w:r>
            <w:r>
              <w:rPr>
                <w:rFonts w:ascii="Arial" w:cs="Arial" w:eastAsia="Arial" w:hAnsi="Arial"/>
                <w:b w:val="false"/>
                <w:bCs w:val="false"/>
                <w:i w:val="false"/>
                <w:iCs w:val="false"/>
                <w:color w:val="7D6808"/>
                <w:sz w:val="18"/>
                <w:szCs w:val="18"/>
              </w:rPr>
              <w:t xml:space="preserve">Las siguientes tablas describen a los residentes empleados de esta zona, dondequiera que trabajen — no a personas que trabajan dentro de la zona (el ACS no mide empleo localizado). Léelas como el perfil laboral y de movilidad de la población, y como guía de cuándo es más probable que los residentes consuman.</w:t>
            </w:r>
          </w:p>
        </w:tc>
      </w:tr>
    </w:tbl>
    <w:p>
      <w:pPr>
        <w:keepNext/>
        <w:keepLines/>
        <w:spacing w:after="100" w:before="200"/>
      </w:pPr>
      <w:r>
        <w:rPr>
          <w:rFonts w:ascii="Arial" w:cs="Arial" w:eastAsia="Arial" w:hAnsi="Arial"/>
          <w:b/>
          <w:bCs/>
          <w:i w:val="false"/>
          <w:iCs w:val="false"/>
          <w:color w:val="2E75B6"/>
          <w:sz w:val="26"/>
          <w:szCs w:val="26"/>
        </w:rPr>
        <w:t xml:space="preserve">Ocupaciones de la población empleada</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3560"/>
        <w:gridCol w:w="2000"/>
        <w:gridCol w:w="1800"/>
        <w:gridCol w:w="2000"/>
      </w:tblGrid>
      <w:tr>
        <w:trPr>
          <w:cantSplit/>
          <w:tblHeader/>
        </w:trPr>
        <w:tc>
          <w:tcPr>
            <w:tcW w:type="dxa" w:w="35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Grupo de ocupación</w:t>
            </w:r>
          </w:p>
        </w:tc>
        <w:tc>
          <w:tcPr>
            <w:tcW w:type="dxa" w:w="2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Residentes</w:t>
            </w:r>
          </w:p>
        </w:tc>
        <w:tc>
          <w:tcPr>
            <w:tcW w:type="dxa" w:w="18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 de empleados</w:t>
            </w:r>
          </w:p>
        </w:tc>
        <w:tc>
          <w:tcPr>
            <w:tcW w:type="dxa" w:w="2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Análisis</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Professional and management occupations</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25,684</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38.2%</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Technology and data occupations</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1,772</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2.6%</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Education occupations</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3,598</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5.4%</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Healthcare practitioners and technical occupations</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4,251</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6.3%</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Total healthcare occupations</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7,775</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11.6%</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Service occupations</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12,710</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18.9%</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Healthcare support occupations</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3,524</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5.2%</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Public safety and protection occupations</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2,074</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3.1%</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Firefighting and non-police protection</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1,048</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1.6%</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Law enforcement occupations</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1,026</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1.5%</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Sales and office occupations</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14,023</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20.9%</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Construction and skilled trades</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5,932</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8.8%</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Production and transportation</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8,834</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13.1%</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3560"/>
            <w:shd w:fill="F5F8FC"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Total employed population</w:t>
            </w:r>
          </w:p>
        </w:tc>
        <w:tc>
          <w:tcPr>
            <w:tcW w:type="dxa" w:w="2000"/>
            <w:shd w:fill="F5F8FC"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67,183</w:t>
            </w:r>
          </w:p>
        </w:tc>
        <w:tc>
          <w:tcPr>
            <w:tcW w:type="dxa" w:w="1800"/>
            <w:shd w:fill="F5F8FC" w:val="clear"/>
            <w:tcMar>
              <w:top w:type="dxa" w:w="50"/>
              <w:left w:type="dxa" w:w="100"/>
              <w:bottom w:type="dxa" w:w="50"/>
              <w:right w:type="dxa" w:w="100"/>
            </w:tcMar>
          </w:tcPr>
          <w:p>
            <w:r>
              <w:rPr>
                <w:rFonts w:ascii="Arial" w:cs="Arial" w:eastAsia="Arial" w:hAnsi="Arial"/>
                <w:b/>
                <w:bCs/>
                <w:i w:val="false"/>
                <w:iCs w:val="false"/>
                <w:color w:val="404040"/>
                <w:sz w:val="18"/>
                <w:szCs w:val="18"/>
              </w:rPr>
              <w:t xml:space="preserve">100%</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t>
            </w:r>
          </w:p>
        </w:tc>
      </w:tr>
    </w:tbl>
    <w:p>
      <w:pPr>
        <w:spacing w:after="120" w:before="0"/>
        <w:jc w:val="left"/>
      </w:pPr>
      <w:r>
        <w:rPr>
          <w:rFonts w:ascii="Arial" w:cs="Arial" w:eastAsia="Arial" w:hAnsi="Arial"/>
          <w:b w:val="false"/>
          <w:bCs w:val="false"/>
          <w:i w:val="false"/>
          <w:iCs w:val="false"/>
          <w:color w:val="404040"/>
          <w:sz w:val="22"/>
          <w:szCs w:val="22"/>
        </w:rPr>
        <w:t xml:space="preserve">El perfil ocupacional combina cuello blanco y oficios: las ocupaciones profesionales y gerenciales suman 25,684 residentes (38.2%, High) y las de ventas y oficina 14,023 (20.9%, High), pero la construcción y los oficios calificados también tienen un peso real con 5,932 (8.8%, High). No es un mercado exclusivamente de oficina: hay ingreso disponible tanto en el segmento profesional como en el de oficios.</w:t>
      </w:r>
    </w:p>
    <w:p>
      <w:pPr>
        <w:keepNext/>
        <w:keepLines/>
        <w:spacing w:after="100" w:before="200"/>
      </w:pPr>
      <w:r>
        <w:rPr>
          <w:rFonts w:ascii="Arial" w:cs="Arial" w:eastAsia="Arial" w:hAnsi="Arial"/>
          <w:b/>
          <w:bCs/>
          <w:i w:val="false"/>
          <w:iCs w:val="false"/>
          <w:color w:val="2E75B6"/>
          <w:sz w:val="26"/>
          <w:szCs w:val="26"/>
        </w:rPr>
        <w:t xml:space="preserve">Medio de transporte al trabajo</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3560"/>
        <w:gridCol w:w="2000"/>
        <w:gridCol w:w="1800"/>
        <w:gridCol w:w="2000"/>
      </w:tblGrid>
      <w:tr>
        <w:trPr>
          <w:cantSplit/>
          <w:tblHeader/>
        </w:trPr>
        <w:tc>
          <w:tcPr>
            <w:tcW w:type="dxa" w:w="35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Medio de transporte</w:t>
            </w:r>
          </w:p>
        </w:tc>
        <w:tc>
          <w:tcPr>
            <w:tcW w:type="dxa" w:w="2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Residentes</w:t>
            </w:r>
          </w:p>
        </w:tc>
        <w:tc>
          <w:tcPr>
            <w:tcW w:type="dxa" w:w="18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 del total</w:t>
            </w:r>
          </w:p>
        </w:tc>
        <w:tc>
          <w:tcPr>
            <w:tcW w:type="dxa" w:w="2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Análisis</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Car, truck, or van</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57,329</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84.5%</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Public transportation</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1,105</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1.6%</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Bus</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754</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1.1%</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Subway or elevated rail</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71</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0.1%</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Taxi or ride-hailing services</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30</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0.0%</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Motorcycle</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300</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0.4%</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Bicycle</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70</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0.1%</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Walked</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605</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0.9%</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Other means</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621</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0.9%</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Worked from home</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7,794</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11.5%</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bl>
    <w:p>
      <w:pPr>
        <w:spacing w:after="120" w:before="0"/>
        <w:jc w:val="left"/>
      </w:pPr>
      <w:r>
        <w:rPr>
          <w:rFonts w:ascii="Arial" w:cs="Arial" w:eastAsia="Arial" w:hAnsi="Arial"/>
          <w:b w:val="false"/>
          <w:bCs w:val="false"/>
          <w:i w:val="false"/>
          <w:iCs w:val="false"/>
          <w:color w:val="404040"/>
          <w:sz w:val="22"/>
          <w:szCs w:val="22"/>
        </w:rPr>
        <w:t xml:space="preserve">La movilidad es abrumadoramente dependiente del automóvil: 57,329 residentes (84.5%, Very high) se trasladan en auto, camioneta o van. El transporte público y los modos activos son marginales (en conjunto, menos del 3%). El trabajo desde casa alcanza a 7,794 residentes (11.5%, Regular) — una demanda diurna local afirmable, aunque no es el rasgo dominante de esta zona como sí lo sería en un mercado con mayor proporción de trabajo remoto.</w:t>
      </w:r>
    </w:p>
    <w:p>
      <w:pPr>
        <w:keepNext/>
        <w:keepLines/>
        <w:spacing w:after="100" w:before="200"/>
      </w:pPr>
      <w:r>
        <w:rPr>
          <w:rFonts w:ascii="Arial" w:cs="Arial" w:eastAsia="Arial" w:hAnsi="Arial"/>
          <w:b/>
          <w:bCs/>
          <w:i w:val="false"/>
          <w:iCs w:val="false"/>
          <w:color w:val="2E75B6"/>
          <w:sz w:val="26"/>
          <w:szCs w:val="26"/>
        </w:rPr>
        <w:t xml:space="preserve">Hora de salida al trabajo (ventanas de consumo)</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3560"/>
        <w:gridCol w:w="2000"/>
        <w:gridCol w:w="1800"/>
        <w:gridCol w:w="2000"/>
      </w:tblGrid>
      <w:tr>
        <w:trPr>
          <w:cantSplit/>
          <w:tblHeader/>
        </w:trPr>
        <w:tc>
          <w:tcPr>
            <w:tcW w:type="dxa" w:w="35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Ventana de salida</w:t>
            </w:r>
          </w:p>
        </w:tc>
        <w:tc>
          <w:tcPr>
            <w:tcW w:type="dxa" w:w="2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Residentes</w:t>
            </w:r>
          </w:p>
        </w:tc>
        <w:tc>
          <w:tcPr>
            <w:tcW w:type="dxa" w:w="18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 del total</w:t>
            </w:r>
          </w:p>
        </w:tc>
        <w:tc>
          <w:tcPr>
            <w:tcW w:type="dxa" w:w="2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Análisis</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1200 a.m. to 459 a.m.</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4,175</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7.0%</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500 a.m. to 559 a.m.</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7,129</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11.9%</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600 a.m. to 659 a.m.</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11,011</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18.3%</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700 a.m. to 759 a.m.</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14,972</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24.9%</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800 a.m. to 859 a.m.</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8,716</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14.5%</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900 a.m. to 959 a.m.</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3,174</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5.3%</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1000 a.m. to 1059 a.m.</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1,785</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3.0%</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Muy bajo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1100 a.m. to 1159 a.m.</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906</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1.5%</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1200 p.m. to 359 p.m.</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4,422</w:t>
            </w:r>
          </w:p>
        </w:tc>
        <w:tc>
          <w:tcPr>
            <w:tcW w:type="dxa" w:w="1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7.4%</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400 p.m. to 1159 p.m.</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3,770</w:t>
            </w:r>
          </w:p>
        </w:tc>
        <w:tc>
          <w:tcPr>
            <w:tcW w:type="dxa" w:w="1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6.3%</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w:t>
            </w:r>
          </w:p>
        </w:tc>
      </w:tr>
    </w:tbl>
    <w:p>
      <w:pPr>
        <w:spacing w:after="120" w:before="0"/>
        <w:jc w:val="left"/>
      </w:pPr>
      <w:r>
        <w:rPr>
          <w:rFonts w:ascii="Arial" w:cs="Arial" w:eastAsia="Arial" w:hAnsi="Arial"/>
          <w:b w:val="false"/>
          <w:bCs w:val="false"/>
          <w:i w:val="false"/>
          <w:iCs w:val="false"/>
          <w:color w:val="404040"/>
          <w:sz w:val="22"/>
          <w:szCs w:val="22"/>
        </w:rPr>
        <w:t xml:space="preserve">La salida hacia el trabajo se concentra de forma inusualmente temprana: 37,287 residentes (62.1% del universo de hora de salida) salen de casa antes de las 8:00 a.m., con picos en el tramo de 7:00 a 7:59 a.m. (14,972, 24.9%) y de 6:00 a 6:59 a.m. (11,011, 18.3%). Es una ventana de consumo matutina más temprana que la de un mercado de oficina típico, y apunta a una demanda fuerte de café y desayuno rápido antes de las 7:00 a.m.</w:t>
      </w:r>
    </w:p>
    <w:p>
      <w:pPr>
        <w:keepNext/>
        <w:keepLines/>
        <w:spacing w:after="100" w:before="200"/>
      </w:pPr>
      <w:r>
        <w:rPr>
          <w:rFonts w:ascii="Arial" w:cs="Arial" w:eastAsia="Arial" w:hAnsi="Arial"/>
          <w:b/>
          <w:bCs/>
          <w:i w:val="false"/>
          <w:iCs w:val="false"/>
          <w:color w:val="2E75B6"/>
          <w:sz w:val="26"/>
          <w:szCs w:val="26"/>
        </w:rPr>
        <w:t xml:space="preserve">Insights laborales y de movilidad clave</w:t>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01</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FUERZA LABORAL MIXTA: OFICINA Y OFICIOS</w:t>
            </w:r>
          </w:p>
          <w:p>
            <w:r>
              <w:rPr>
                <w:rFonts w:ascii="Arial" w:cs="Arial" w:eastAsia="Arial" w:hAnsi="Arial"/>
                <w:b w:val="false"/>
                <w:bCs w:val="false"/>
                <w:i/>
                <w:iCs/>
                <w:color w:val="404040"/>
                <w:sz w:val="18"/>
                <w:szCs w:val="18"/>
              </w:rPr>
              <w:t xml:space="preserve">Con 25,684 residentes en ocupaciones profesionales/gerenciales y 5,932 en construcción y oficios calificados, el ingreso disponible no depende de un solo tipo de empleo.</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02</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DEPENDENCIA CASI TOTAL DEL AUTOMÓVIL</w:t>
            </w:r>
          </w:p>
          <w:p>
            <w:r>
              <w:rPr>
                <w:rFonts w:ascii="Arial" w:cs="Arial" w:eastAsia="Arial" w:hAnsi="Arial"/>
                <w:b w:val="false"/>
                <w:bCs w:val="false"/>
                <w:i/>
                <w:iCs/>
                <w:color w:val="404040"/>
                <w:sz w:val="18"/>
                <w:szCs w:val="18"/>
              </w:rPr>
              <w:t xml:space="preserve">El 84.5% de los residentes empleados (57,329) se traslada en auto. La visibilidad sobre avenida principal y el estacionamiento son, prácticamente, condición de entrada para cualquier formato.</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03</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TRABAJO DESDE CASA MODERADO, PERO REAL</w:t>
            </w:r>
          </w:p>
          <w:p>
            <w:r>
              <w:rPr>
                <w:rFonts w:ascii="Arial" w:cs="Arial" w:eastAsia="Arial" w:hAnsi="Arial"/>
                <w:b w:val="false"/>
                <w:bCs w:val="false"/>
                <w:i/>
                <w:iCs/>
                <w:color w:val="404040"/>
                <w:sz w:val="18"/>
                <w:szCs w:val="18"/>
              </w:rPr>
              <w:t xml:space="preserve">7,794 residentes (11.5%) trabajan desde casa: suficiente volumen para sostener una demanda diurna local entre semana, aunque secundaria frente al pico de salida matutina.</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04</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UNA VENTANA MATUTINA INUSUALMENTE TEMPRANA</w:t>
            </w:r>
          </w:p>
          <w:p>
            <w:r>
              <w:rPr>
                <w:rFonts w:ascii="Arial" w:cs="Arial" w:eastAsia="Arial" w:hAnsi="Arial"/>
                <w:b w:val="false"/>
                <w:bCs w:val="false"/>
                <w:i/>
                <w:iCs/>
                <w:color w:val="404040"/>
                <w:sz w:val="18"/>
                <w:szCs w:val="18"/>
              </w:rPr>
              <w:t xml:space="preserve">El 62.1% de los residentes empleados (37,287) sale antes de las 8:00 a.m. Cualquier concepto de café o desayuno rápido calibrado a este mercado debe estar listo para recibir clientes desde muy temprano, no a partir de las 8:00 a.m. como en un mercado de horario típico.</w:t>
            </w:r>
          </w:p>
        </w:tc>
      </w:tr>
    </w:tbl>
    <w:p>
      <w:pPr>
        <w:spacing w:after="40"/>
      </w:pPr>
      <w:r>
        <w:rPr>
          <w:rFonts w:ascii="Arial" w:cs="Arial" w:eastAsia="Arial" w:hAnsi="Arial"/>
          <w:b w:val="false"/>
          <w:bCs w:val="false"/>
          <w:i w:val="false"/>
          <w:iCs w:val="false"/>
          <w:color w:val="404040"/>
          <w:sz w:val="22"/>
          <w:szCs w:val="22"/>
        </w:rPr>
        <w:t xml:space="preserve"/>
      </w:r>
    </w:p>
    <w:p>
      <w:pPr>
        <w:pBdr>
          <w:left w:val="single" w:color="2E75B6" w:sz="12" w:space="8"/>
        </w:pBdr>
        <w:spacing w:after="120" w:before="160"/>
        <w:ind w:left="120"/>
      </w:pPr>
      <w:r>
        <w:rPr>
          <w:rFonts w:ascii="Arial" w:cs="Arial" w:eastAsia="Arial" w:hAnsi="Arial"/>
          <w:b w:val="false"/>
          <w:bCs w:val="false"/>
          <w:i/>
          <w:iCs/>
          <w:color w:val="2E75B6"/>
          <w:sz w:val="20"/>
          <w:szCs w:val="20"/>
        </w:rPr>
        <w:t xml:space="preserve">Los residentes y su rutina ya son claros. Ahora, lo que ya existe en el terreno: los negocios y marcas que forman el panorama comercial actual.</w:t>
      </w:r>
    </w:p>
    <w:p>
      <w:r>
        <w:br w:type="page"/>
      </w:r>
    </w:p>
    <w:p>
      <w:pPr>
        <w:keepNext/>
        <w:keepLines/>
        <w:pBdr>
          <w:bottom w:val="single" w:color="2E75B6" w:sz="12" w:space="4"/>
        </w:pBdr>
        <w:spacing w:after="80" w:before="240"/>
      </w:pPr>
      <w:r>
        <w:rPr>
          <w:rFonts w:ascii="Arial" w:cs="Arial" w:eastAsia="Arial" w:hAnsi="Arial"/>
          <w:b/>
          <w:bCs/>
          <w:i w:val="false"/>
          <w:iCs w:val="false"/>
          <w:color w:val="1B4F8A"/>
          <w:sz w:val="32"/>
          <w:szCs w:val="32"/>
        </w:rPr>
        <w:t xml:space="preserve">04  ·  PANORAMA COMERCIAL</w:t>
      </w:r>
    </w:p>
    <w:p>
      <w:pPr>
        <w:keepNext/>
        <w:keepLines/>
        <w:spacing w:after="160"/>
      </w:pPr>
      <w:r>
        <w:rPr>
          <w:rFonts w:ascii="Arial" w:cs="Arial" w:eastAsia="Arial" w:hAnsi="Arial"/>
          <w:b w:val="false"/>
          <w:bCs w:val="false"/>
          <w:i/>
          <w:iCs/>
          <w:color w:val="555555"/>
          <w:sz w:val="21"/>
          <w:szCs w:val="21"/>
        </w:rPr>
        <w:t xml:space="preserve">¿Qué oferta comercial existe y qué marcas dominan cada categoría?</w:t>
      </w:r>
    </w:p>
    <w:p>
      <w:pPr>
        <w:spacing w:after="120" w:before="0"/>
        <w:jc w:val="left"/>
      </w:pPr>
      <w:r>
        <w:rPr>
          <w:rFonts w:ascii="Arial" w:cs="Arial" w:eastAsia="Arial" w:hAnsi="Arial"/>
          <w:b w:val="false"/>
          <w:bCs w:val="false"/>
          <w:i w:val="false"/>
          <w:iCs w:val="false"/>
          <w:color w:val="404040"/>
          <w:sz w:val="20"/>
          <w:szCs w:val="20"/>
        </w:rPr>
        <w:t xml:space="preserve">Esta sección mapea los negocios e instituciones físicamente presentes en el área, a partir del directorio de ubicaciones comerciales e institucionales de MktCompass. Como el ACS no reporta el empleo localizado, no hay un índice único de actividad; en su lugar, el volumen y la mezcla de ubicaciones, y las marcas detrás de ellas, describen qué tan desarrollado y competitivo es el mercado local.</w:t>
      </w:r>
    </w:p>
    <w:p>
      <w:pPr>
        <w:keepNext/>
        <w:keepLines/>
        <w:spacing w:after="100" w:before="200"/>
      </w:pPr>
      <w:r>
        <w:rPr>
          <w:rFonts w:ascii="Arial" w:cs="Arial" w:eastAsia="Arial" w:hAnsi="Arial"/>
          <w:b/>
          <w:bCs/>
          <w:i w:val="false"/>
          <w:iCs w:val="false"/>
          <w:color w:val="2E75B6"/>
          <w:sz w:val="26"/>
          <w:szCs w:val="26"/>
        </w:rPr>
        <w:t xml:space="preserve">Ubicaciones clave por categoría (Top 10 por volumen)</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2760"/>
        <w:gridCol w:w="1000"/>
        <w:gridCol w:w="3600"/>
        <w:gridCol w:w="2000"/>
      </w:tblGrid>
      <w:tr>
        <w:trPr>
          <w:cantSplit/>
          <w:tblHeader/>
        </w:trPr>
        <w:tc>
          <w:tcPr>
            <w:tcW w:type="dxa" w:w="27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Categoría</w:t>
            </w:r>
          </w:p>
        </w:tc>
        <w:tc>
          <w:tcPr>
            <w:tcW w:type="dxa" w:w="1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Cantidad</w:t>
            </w:r>
          </w:p>
        </w:tc>
        <w:tc>
          <w:tcPr>
            <w:tcW w:type="dxa" w:w="36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Relevancia para el tráfico diario</w:t>
            </w:r>
          </w:p>
        </w:tc>
        <w:tc>
          <w:tcPr>
            <w:tcW w:type="dxa" w:w="20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Marcas dominantes</w:t>
            </w:r>
          </w:p>
        </w:tc>
      </w:tr>
      <w:tr>
        <w:trPr>
          <w:cantSplit/>
        </w:trPr>
        <w:tc>
          <w:tcPr>
            <w:tcW w:type="dxa" w:w="27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Bars</w:t>
            </w:r>
          </w:p>
        </w:tc>
        <w:tc>
          <w:tcPr>
            <w:tcW w:type="dxa" w:w="1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91</w:t>
            </w:r>
          </w:p>
        </w:tc>
        <w:tc>
          <w:tcPr>
            <w:tcW w:type="dxa" w:w="36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El giro más grande de toda la zona por volumen, y enteramente independiente: no hay una sola marca formal detrás de sus 91 locales.</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Independientes predominan</w:t>
            </w:r>
          </w:p>
        </w:tc>
      </w:tr>
      <w:tr>
        <w:trPr>
          <w:cantSplit/>
        </w:trPr>
        <w:tc>
          <w:tcPr>
            <w:tcW w:type="dxa" w:w="27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Vending (General)</w:t>
            </w:r>
          </w:p>
        </w:tc>
        <w:tc>
          <w:tcPr>
            <w:tcW w:type="dxa" w:w="1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32</w:t>
            </w:r>
          </w:p>
        </w:tc>
        <w:tc>
          <w:tcPr>
            <w:tcW w:type="dxa" w:w="36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Presencia amplia y en su mayoría no formal, con Primo Water como la única marca real relevante.</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Primo Water (2)</w:t>
            </w:r>
          </w:p>
        </w:tc>
      </w:tr>
      <w:tr>
        <w:trPr>
          <w:cantSplit/>
        </w:trPr>
        <w:tc>
          <w:tcPr>
            <w:tcW w:type="dxa" w:w="27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Coffee Shops</w:t>
            </w:r>
          </w:p>
        </w:tc>
        <w:tc>
          <w:tcPr>
            <w:tcW w:type="dxa" w:w="1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27</w:t>
            </w:r>
          </w:p>
        </w:tc>
        <w:tc>
          <w:tcPr>
            <w:tcW w:type="dxa" w:w="36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Categoría de tráfico frecuente con densidad moderada; Starbucks lidera sin llegar a copar el giro.</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Starbucks (11), Tapioca Express (2)</w:t>
            </w:r>
          </w:p>
        </w:tc>
      </w:tr>
      <w:tr>
        <w:trPr>
          <w:cantSplit/>
        </w:trPr>
        <w:tc>
          <w:tcPr>
            <w:tcW w:type="dxa" w:w="27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Other Attractions</w:t>
            </w:r>
          </w:p>
        </w:tc>
        <w:tc>
          <w:tcPr>
            <w:tcW w:type="dxa" w:w="1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22</w:t>
            </w:r>
          </w:p>
        </w:tc>
        <w:tc>
          <w:tcPr>
            <w:tcW w:type="dxa" w:w="36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Categoría heterogénea y enteramente independiente, sin marcas formales identificables.</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Independientes predominan</w:t>
            </w:r>
          </w:p>
        </w:tc>
      </w:tr>
      <w:tr>
        <w:trPr>
          <w:cantSplit/>
        </w:trPr>
        <w:tc>
          <w:tcPr>
            <w:tcW w:type="dxa" w:w="27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Bakery / Deli / Café</w:t>
            </w:r>
          </w:p>
        </w:tc>
        <w:tc>
          <w:tcPr>
            <w:tcW w:type="dxa" w:w="1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21</w:t>
            </w:r>
          </w:p>
        </w:tc>
        <w:tc>
          <w:tcPr>
            <w:tcW w:type="dxa" w:w="36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Concentrado en Subway, que supera el umbral de mercado copado en este giro.</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Subway (13), Jersey Mike's Subs (3)</w:t>
            </w:r>
          </w:p>
        </w:tc>
      </w:tr>
      <w:tr>
        <w:trPr>
          <w:cantSplit/>
        </w:trPr>
        <w:tc>
          <w:tcPr>
            <w:tcW w:type="dxa" w:w="27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Schools</w:t>
            </w:r>
          </w:p>
        </w:tc>
        <w:tc>
          <w:tcPr>
            <w:tcW w:type="dxa" w:w="1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19</w:t>
            </w:r>
          </w:p>
        </w:tc>
        <w:tc>
          <w:tcPr>
            <w:tcW w:type="dxa" w:w="36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Presencia comunitaria relevante, enteramente independiente por naturaleza del giro.</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Independientes predominan</w:t>
            </w:r>
          </w:p>
        </w:tc>
      </w:tr>
      <w:tr>
        <w:trPr>
          <w:cantSplit/>
        </w:trPr>
        <w:tc>
          <w:tcPr>
            <w:tcW w:type="dxa" w:w="27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Beauty Salons</w:t>
            </w:r>
          </w:p>
        </w:tc>
        <w:tc>
          <w:tcPr>
            <w:tcW w:type="dxa" w:w="1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19</w:t>
            </w:r>
          </w:p>
        </w:tc>
        <w:tc>
          <w:tcPr>
            <w:tcW w:type="dxa" w:w="36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Mayoritariamente independiente; solo una fracción menor opera bajo marca formal.</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Sola Salons (2), European Wax Center (1)</w:t>
            </w:r>
          </w:p>
        </w:tc>
      </w:tr>
      <w:tr>
        <w:trPr>
          <w:cantSplit/>
        </w:trPr>
        <w:tc>
          <w:tcPr>
            <w:tcW w:type="dxa" w:w="27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Hairdressers</w:t>
            </w:r>
          </w:p>
        </w:tc>
        <w:tc>
          <w:tcPr>
            <w:tcW w:type="dxa" w:w="1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17</w:t>
            </w:r>
          </w:p>
        </w:tc>
        <w:tc>
          <w:tcPr>
            <w:tcW w:type="dxa" w:w="36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Casi enteramente independiente, con una sola marca formal presente de forma testimonial.</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Supercuts (1)</w:t>
            </w:r>
          </w:p>
        </w:tc>
      </w:tr>
      <w:tr>
        <w:trPr>
          <w:cantSplit/>
        </w:trPr>
        <w:tc>
          <w:tcPr>
            <w:tcW w:type="dxa" w:w="27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Convenience Stores</w:t>
            </w:r>
          </w:p>
        </w:tc>
        <w:tc>
          <w:tcPr>
            <w:tcW w:type="dxa" w:w="1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16</w:t>
            </w:r>
          </w:p>
        </w:tc>
        <w:tc>
          <w:tcPr>
            <w:tcW w:type="dxa" w:w="36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Giro institucionalizado por cadenas: 7-Eleven y Mobil concentran más de seis de cada diez locales.</w:t>
            </w:r>
          </w:p>
        </w:tc>
        <w:tc>
          <w:tcPr>
            <w:tcW w:type="dxa" w:w="20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7-Eleven (6), Mobil (4)</w:t>
            </w:r>
          </w:p>
        </w:tc>
      </w:tr>
      <w:tr>
        <w:trPr>
          <w:cantSplit/>
        </w:trPr>
        <w:tc>
          <w:tcPr>
            <w:tcW w:type="dxa" w:w="27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Shelters</w:t>
            </w:r>
          </w:p>
        </w:tc>
        <w:tc>
          <w:tcPr>
            <w:tcW w:type="dxa" w:w="1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16</w:t>
            </w:r>
          </w:p>
        </w:tc>
        <w:tc>
          <w:tcPr>
            <w:tcW w:type="dxa" w:w="36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Infraestructura comunitaria, sin componente de marca comercial.</w:t>
            </w:r>
          </w:p>
        </w:tc>
        <w:tc>
          <w:tcPr>
            <w:tcW w:type="dxa" w:w="20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Independientes predominan</w:t>
            </w:r>
          </w:p>
        </w:tc>
      </w:tr>
    </w:tbl>
    <w:p>
      <w:pPr>
        <w:keepNext/>
        <w:keepLines/>
        <w:spacing w:after="100" w:before="200"/>
      </w:pPr>
      <w:r>
        <w:rPr>
          <w:rFonts w:ascii="Arial" w:cs="Arial" w:eastAsia="Arial" w:hAnsi="Arial"/>
          <w:b/>
          <w:bCs/>
          <w:i w:val="false"/>
          <w:iCs w:val="false"/>
          <w:color w:val="2E75B6"/>
          <w:sz w:val="26"/>
          <w:szCs w:val="26"/>
        </w:rPr>
        <w:t xml:space="preserve">Marcas dominantes en las categorías de mayor presencia</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1660"/>
        <w:gridCol w:w="2200"/>
        <w:gridCol w:w="2200"/>
        <w:gridCol w:w="900"/>
        <w:gridCol w:w="1100"/>
        <w:gridCol w:w="1300"/>
      </w:tblGrid>
      <w:tr>
        <w:trPr>
          <w:cantSplit/>
          <w:tblHeader/>
        </w:trPr>
        <w:tc>
          <w:tcPr>
            <w:tcW w:type="dxa" w:w="16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Sector</w:t>
            </w:r>
          </w:p>
        </w:tc>
        <w:tc>
          <w:tcPr>
            <w:tcW w:type="dxa" w:w="22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Categoría</w:t>
            </w:r>
          </w:p>
        </w:tc>
        <w:tc>
          <w:tcPr>
            <w:tcW w:type="dxa" w:w="22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Marca líder</w:t>
            </w:r>
          </w:p>
        </w:tc>
        <w:tc>
          <w:tcPr>
            <w:tcW w:type="dxa" w:w="9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Ubic.</w:t>
            </w:r>
          </w:p>
        </w:tc>
        <w:tc>
          <w:tcPr>
            <w:tcW w:type="dxa" w:w="11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 de la cat.</w:t>
            </w:r>
          </w:p>
        </w:tc>
        <w:tc>
          <w:tcPr>
            <w:tcW w:type="dxa" w:w="13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2ª marca</w:t>
            </w:r>
          </w:p>
        </w:tc>
      </w:tr>
      <w:tr>
        <w:trPr>
          <w:cantSplit/>
        </w:trPr>
        <w:tc>
          <w:tcPr>
            <w:tcW w:type="dxa" w:w="16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Restaurants and Bars</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Bars</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Independientes predominan</w:t>
            </w:r>
          </w:p>
        </w:tc>
        <w:tc>
          <w:tcPr>
            <w:tcW w:type="dxa" w:w="9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91</w:t>
            </w:r>
          </w:p>
        </w:tc>
        <w:tc>
          <w:tcPr>
            <w:tcW w:type="dxa" w:w="11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100%</w:t>
            </w:r>
          </w:p>
        </w:tc>
        <w:tc>
          <w:tcPr>
            <w:tcW w:type="dxa" w:w="13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t>
            </w:r>
          </w:p>
        </w:tc>
      </w:tr>
      <w:tr>
        <w:trPr>
          <w:cantSplit/>
        </w:trPr>
        <w:tc>
          <w:tcPr>
            <w:tcW w:type="dxa" w:w="16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Commerce</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Vending (General)</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Primo Water</w:t>
            </w:r>
          </w:p>
        </w:tc>
        <w:tc>
          <w:tcPr>
            <w:tcW w:type="dxa" w:w="9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w:t>
            </w:r>
          </w:p>
        </w:tc>
        <w:tc>
          <w:tcPr>
            <w:tcW w:type="dxa" w:w="11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6.3%</w:t>
            </w:r>
          </w:p>
        </w:tc>
        <w:tc>
          <w:tcPr>
            <w:tcW w:type="dxa" w:w="13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t>
            </w:r>
          </w:p>
        </w:tc>
      </w:tr>
      <w:tr>
        <w:trPr>
          <w:cantSplit/>
        </w:trPr>
        <w:tc>
          <w:tcPr>
            <w:tcW w:type="dxa" w:w="16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Food and Beverages</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Coffee Shops</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Starbucks</w:t>
            </w:r>
          </w:p>
        </w:tc>
        <w:tc>
          <w:tcPr>
            <w:tcW w:type="dxa" w:w="9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11</w:t>
            </w:r>
          </w:p>
        </w:tc>
        <w:tc>
          <w:tcPr>
            <w:tcW w:type="dxa" w:w="11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40.7%</w:t>
            </w:r>
          </w:p>
        </w:tc>
        <w:tc>
          <w:tcPr>
            <w:tcW w:type="dxa" w:w="13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Tapioca Express</w:t>
            </w:r>
          </w:p>
        </w:tc>
      </w:tr>
      <w:tr>
        <w:trPr>
          <w:cantSplit/>
        </w:trPr>
        <w:tc>
          <w:tcPr>
            <w:tcW w:type="dxa" w:w="16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Tourism &amp; Attractions</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Other Attractions</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Independientes predominan</w:t>
            </w:r>
          </w:p>
        </w:tc>
        <w:tc>
          <w:tcPr>
            <w:tcW w:type="dxa" w:w="9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22</w:t>
            </w:r>
          </w:p>
        </w:tc>
        <w:tc>
          <w:tcPr>
            <w:tcW w:type="dxa" w:w="11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100%</w:t>
            </w:r>
          </w:p>
        </w:tc>
        <w:tc>
          <w:tcPr>
            <w:tcW w:type="dxa" w:w="13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t>
            </w:r>
          </w:p>
        </w:tc>
      </w:tr>
      <w:tr>
        <w:trPr>
          <w:cantSplit/>
        </w:trPr>
        <w:tc>
          <w:tcPr>
            <w:tcW w:type="dxa" w:w="16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Restaurants and Bars</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Bakery / Deli / Café</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Subway</w:t>
            </w:r>
          </w:p>
        </w:tc>
        <w:tc>
          <w:tcPr>
            <w:tcW w:type="dxa" w:w="9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13</w:t>
            </w:r>
          </w:p>
        </w:tc>
        <w:tc>
          <w:tcPr>
            <w:tcW w:type="dxa" w:w="11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61.9%</w:t>
            </w:r>
          </w:p>
        </w:tc>
        <w:tc>
          <w:tcPr>
            <w:tcW w:type="dxa" w:w="13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Jersey Mike's Subs</w:t>
            </w:r>
          </w:p>
        </w:tc>
      </w:tr>
      <w:tr>
        <w:trPr>
          <w:cantSplit/>
        </w:trPr>
        <w:tc>
          <w:tcPr>
            <w:tcW w:type="dxa" w:w="16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Education</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Schools</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Independientes predominan</w:t>
            </w:r>
          </w:p>
        </w:tc>
        <w:tc>
          <w:tcPr>
            <w:tcW w:type="dxa" w:w="9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19</w:t>
            </w:r>
          </w:p>
        </w:tc>
        <w:tc>
          <w:tcPr>
            <w:tcW w:type="dxa" w:w="11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100%</w:t>
            </w:r>
          </w:p>
        </w:tc>
        <w:tc>
          <w:tcPr>
            <w:tcW w:type="dxa" w:w="13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t>
            </w:r>
          </w:p>
        </w:tc>
      </w:tr>
      <w:tr>
        <w:trPr>
          <w:cantSplit/>
        </w:trPr>
        <w:tc>
          <w:tcPr>
            <w:tcW w:type="dxa" w:w="16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Personal Services</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Beauty Salons</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Sola Salons</w:t>
            </w:r>
          </w:p>
        </w:tc>
        <w:tc>
          <w:tcPr>
            <w:tcW w:type="dxa" w:w="9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w:t>
            </w:r>
          </w:p>
        </w:tc>
        <w:tc>
          <w:tcPr>
            <w:tcW w:type="dxa" w:w="11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10.5%</w:t>
            </w:r>
          </w:p>
        </w:tc>
        <w:tc>
          <w:tcPr>
            <w:tcW w:type="dxa" w:w="13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European Wax Center</w:t>
            </w:r>
          </w:p>
        </w:tc>
      </w:tr>
      <w:tr>
        <w:trPr>
          <w:cantSplit/>
        </w:trPr>
        <w:tc>
          <w:tcPr>
            <w:tcW w:type="dxa" w:w="16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Personal Services</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Hairdressers</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Supercuts</w:t>
            </w:r>
          </w:p>
        </w:tc>
        <w:tc>
          <w:tcPr>
            <w:tcW w:type="dxa" w:w="9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w:t>
            </w:r>
          </w:p>
        </w:tc>
        <w:tc>
          <w:tcPr>
            <w:tcW w:type="dxa" w:w="11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5.9%</w:t>
            </w:r>
          </w:p>
        </w:tc>
        <w:tc>
          <w:tcPr>
            <w:tcW w:type="dxa" w:w="13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t>
            </w:r>
          </w:p>
        </w:tc>
      </w:tr>
      <w:tr>
        <w:trPr>
          <w:cantSplit/>
        </w:trPr>
        <w:tc>
          <w:tcPr>
            <w:tcW w:type="dxa" w:w="16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Commerce</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Convenience Stores</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7-Eleven</w:t>
            </w:r>
          </w:p>
        </w:tc>
        <w:tc>
          <w:tcPr>
            <w:tcW w:type="dxa" w:w="9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w:t>
            </w:r>
          </w:p>
        </w:tc>
        <w:tc>
          <w:tcPr>
            <w:tcW w:type="dxa" w:w="11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37.5%</w:t>
            </w:r>
          </w:p>
        </w:tc>
        <w:tc>
          <w:tcPr>
            <w:tcW w:type="dxa" w:w="13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Mobil</w:t>
            </w:r>
          </w:p>
        </w:tc>
      </w:tr>
      <w:tr>
        <w:trPr>
          <w:cantSplit/>
        </w:trPr>
        <w:tc>
          <w:tcPr>
            <w:tcW w:type="dxa" w:w="16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Public Services</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Shelters</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Independientes predominan</w:t>
            </w:r>
          </w:p>
        </w:tc>
        <w:tc>
          <w:tcPr>
            <w:tcW w:type="dxa" w:w="9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16</w:t>
            </w:r>
          </w:p>
        </w:tc>
        <w:tc>
          <w:tcPr>
            <w:tcW w:type="dxa" w:w="11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100%</w:t>
            </w:r>
          </w:p>
        </w:tc>
        <w:tc>
          <w:tcPr>
            <w:tcW w:type="dxa" w:w="13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t>
            </w:r>
          </w:p>
        </w:tc>
      </w:tr>
    </w:tbl>
    <w:p>
      <w:pPr>
        <w:keepNext/>
        <w:keepLines/>
        <w:spacing w:after="100" w:before="200"/>
      </w:pPr>
      <w:r>
        <w:rPr>
          <w:rFonts w:ascii="Arial" w:cs="Arial" w:eastAsia="Arial" w:hAnsi="Arial"/>
          <w:b/>
          <w:bCs/>
          <w:i w:val="false"/>
          <w:iCs w:val="false"/>
          <w:color w:val="2E75B6"/>
          <w:sz w:val="26"/>
          <w:szCs w:val="26"/>
        </w:rPr>
        <w:t xml:space="preserve">Insights del panorama comercial</w:t>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01</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UNA ZONA DE RESTAURANTES Y BARES, ANTE TODO</w:t>
            </w:r>
          </w:p>
          <w:p>
            <w:r>
              <w:rPr>
                <w:rFonts w:ascii="Arial" w:cs="Arial" w:eastAsia="Arial" w:hAnsi="Arial"/>
                <w:b w:val="false"/>
                <w:bCs w:val="false"/>
                <w:i/>
                <w:iCs/>
                <w:color w:val="404040"/>
                <w:sz w:val="18"/>
                <w:szCs w:val="18"/>
              </w:rPr>
              <w:t xml:space="preserve">El sector Restaurants and Bars concentra 158 locales (29.9% del total de POIs), con Bars como el giro individual más grande de toda la zona (91 locales, 17.2% del total), enteramente independiente.</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02</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CONCENTRACIÓN DE MARCA ALTA EN VARIOS GIROS PUNTUALES</w:t>
            </w:r>
          </w:p>
          <w:p>
            <w:r>
              <w:rPr>
                <w:rFonts w:ascii="Arial" w:cs="Arial" w:eastAsia="Arial" w:hAnsi="Arial"/>
                <w:b w:val="false"/>
                <w:bCs w:val="false"/>
                <w:i/>
                <w:iCs/>
                <w:color w:val="404040"/>
                <w:sz w:val="18"/>
                <w:szCs w:val="18"/>
              </w:rPr>
              <w:t xml:space="preserve">Siete giros superan el 50% de concentración en una sola marca: Subway domina Bakery / Deli / Café (13 de 21 locales, 61.9%), Panda Express domina Asian (4 de 5, 80.0%) y Chipotle domina Mexican (3 de 6, 50.0%), entre otros. En contraste, giros como Bars, Schools y Shelters son enteramente independientes.</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03</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ANCLAS NACIONALES SOLO EN CIERTAS CATEGORÍAS</w:t>
            </w:r>
          </w:p>
          <w:p>
            <w:r>
              <w:rPr>
                <w:rFonts w:ascii="Arial" w:cs="Arial" w:eastAsia="Arial" w:hAnsi="Arial"/>
                <w:b w:val="false"/>
                <w:bCs w:val="false"/>
                <w:i/>
                <w:iCs/>
                <w:color w:val="404040"/>
                <w:sz w:val="18"/>
                <w:szCs w:val="18"/>
              </w:rPr>
              <w:t xml:space="preserve">La comida rápida está totalmente institucionalizada por cadenas (Burger 13 de 13 locales de marca real, liderado por McDonald's; Pizza 13 de 13, liderado por Pizza Hut), pero la oferta étnica específica —empezando por Mexican, con solo 6 locales, todos de cadena— no tiene ningún jugador independiente o de servicio completo.</w:t>
            </w:r>
          </w:p>
        </w:tc>
      </w:tr>
    </w:tbl>
    <w:p>
      <w:pPr>
        <w:spacing w:after="40"/>
      </w:pPr>
      <w:r>
        <w:rPr>
          <w:rFonts w:ascii="Arial" w:cs="Arial" w:eastAsia="Arial" w:hAnsi="Arial"/>
          <w:b w:val="false"/>
          <w:bCs w:val="false"/>
          <w:i w:val="false"/>
          <w:iCs w:val="false"/>
          <w:color w:val="404040"/>
          <w:sz w:val="22"/>
          <w:szCs w:val="22"/>
        </w:rPr>
        <w:t xml:space="preserve"/>
      </w:r>
    </w:p>
    <w:p>
      <w:pPr>
        <w:pBdr>
          <w:left w:val="single" w:color="2E75B6" w:sz="12" w:space="8"/>
        </w:pBdr>
        <w:spacing w:after="120" w:before="160"/>
        <w:ind w:left="120"/>
      </w:pPr>
      <w:r>
        <w:rPr>
          <w:rFonts w:ascii="Arial" w:cs="Arial" w:eastAsia="Arial" w:hAnsi="Arial"/>
          <w:b w:val="false"/>
          <w:bCs w:val="false"/>
          <w:i/>
          <w:iCs/>
          <w:color w:val="2E75B6"/>
          <w:sz w:val="20"/>
          <w:szCs w:val="20"/>
        </w:rPr>
        <w:t xml:space="preserve">El mapa de oferta ya es claro. Ahora la pregunta central: dado este perfil residencial y esta oferta ya instalada, ¿qué categorías se ven desatendidas y cuáles saturadas?</w:t>
      </w:r>
    </w:p>
    <w:p>
      <w:r>
        <w:br w:type="page"/>
      </w:r>
    </w:p>
    <w:p>
      <w:pPr>
        <w:keepNext/>
        <w:keepLines/>
        <w:pBdr>
          <w:bottom w:val="single" w:color="2E75B6" w:sz="12" w:space="4"/>
        </w:pBdr>
        <w:spacing w:after="80" w:before="240"/>
      </w:pPr>
      <w:r>
        <w:rPr>
          <w:rFonts w:ascii="Arial" w:cs="Arial" w:eastAsia="Arial" w:hAnsi="Arial"/>
          <w:b/>
          <w:bCs/>
          <w:i w:val="false"/>
          <w:iCs w:val="false"/>
          <w:color w:val="1B4F8A"/>
          <w:sz w:val="32"/>
          <w:szCs w:val="32"/>
        </w:rPr>
        <w:t xml:space="preserve">05  ·  HIPÓTESIS DE DEMANDA Y PANORAMA COMPETITIVO</w:t>
      </w:r>
    </w:p>
    <w:p>
      <w:pPr>
        <w:keepNext/>
        <w:keepLines/>
        <w:spacing w:after="160"/>
      </w:pPr>
      <w:r>
        <w:rPr>
          <w:rFonts w:ascii="Arial" w:cs="Arial" w:eastAsia="Arial" w:hAnsi="Arial"/>
          <w:b w:val="false"/>
          <w:bCs w:val="false"/>
          <w:i/>
          <w:iCs/>
          <w:color w:val="555555"/>
          <w:sz w:val="21"/>
          <w:szCs w:val="21"/>
        </w:rPr>
        <w:t xml:space="preserve">¿Qué categorías parecen tener demanda no cubierta y cuáles lucen saturadas, dado el perfil de la zona?</w:t>
      </w:r>
    </w:p>
    <w:tbl>
      <w:tblPr>
        <w:tblW w:type="dxa" w:w="9360"/>
        <w:tblBorders>
          <w:top w:val="single" w:color="D5E8F0" w:sz="6"/>
          <w:left w:val="single" w:color="D5E8F0" w:sz="6"/>
          <w:bottom w:val="single" w:color="D5E8F0" w:sz="6"/>
          <w:right w:val="single" w:color="D5E8F0" w:sz="6"/>
          <w:insideH w:val="none"/>
          <w:insideV w:val="none"/>
        </w:tblBorders>
      </w:tblPr>
      <w:tblGrid>
        <w:gridCol w:w="9360"/>
      </w:tblGrid>
      <w:tr>
        <w:trPr>
          <w:cantSplit/>
        </w:trPr>
        <w:tc>
          <w:tcPr>
            <w:tcW w:type="dxa" w:w="9360"/>
            <w:shd w:fill="D5E8F0" w:val="clear"/>
            <w:tcMar>
              <w:top w:type="dxa" w:w="100"/>
              <w:left w:type="dxa" w:w="140"/>
              <w:bottom w:type="dxa" w:w="100"/>
              <w:right w:type="dxa" w:w="140"/>
            </w:tcMar>
          </w:tcPr>
          <w:p>
            <w:r>
              <w:rPr>
                <w:rFonts w:ascii="Arial" w:cs="Arial" w:eastAsia="Arial" w:hAnsi="Arial"/>
                <w:b/>
                <w:bCs/>
                <w:i w:val="false"/>
                <w:iCs w:val="false"/>
                <w:color w:val="0D2F55"/>
                <w:sz w:val="19"/>
                <w:szCs w:val="19"/>
              </w:rPr>
              <w:t xml:space="preserve">Cómo leer esta sección.  </w:t>
            </w:r>
            <w:r>
              <w:rPr>
                <w:rFonts w:ascii="Arial" w:cs="Arial" w:eastAsia="Arial" w:hAnsi="Arial"/>
                <w:b w:val="false"/>
                <w:bCs w:val="false"/>
                <w:i w:val="false"/>
                <w:iCs w:val="false"/>
                <w:color w:val="333333"/>
                <w:sz w:val="18"/>
                <w:szCs w:val="18"/>
              </w:rPr>
              <w:t xml:space="preserve">Sin un bloque de oportunidades cuantificado por el modelo, esta sección presenta hipótesis de demanda, no brechas medidas. El mercado real de una categoría depende del tiempo de traslado: conveniencia necesita una isócrona de 3-5 minutos, comparación de 5-10 y especialidad de 10-15. Esta isócrona de 10 minutos es adecuada para comparación y para el borde inferior de especialidad; es mayor a la ideal para conveniencia, por lo que esa lectura se presenta con descargo.</w:t>
            </w:r>
          </w:p>
        </w:tc>
      </w:tr>
    </w:tbl>
    <w:tbl>
      <w:tblPr>
        <w:tblW w:type="dxa" w:w="9360"/>
        <w:tblBorders>
          <w:top w:val="single" w:color="D5E8F0" w:sz="6"/>
          <w:left w:val="single" w:color="D5E8F0" w:sz="6"/>
          <w:bottom w:val="single" w:color="D5E8F0" w:sz="6"/>
          <w:right w:val="single" w:color="D5E8F0" w:sz="6"/>
          <w:insideH w:val="none"/>
          <w:insideV w:val="none"/>
        </w:tblBorders>
      </w:tblPr>
      <w:tblGrid>
        <w:gridCol w:w="9360"/>
      </w:tblGrid>
      <w:tr>
        <w:trPr>
          <w:cantSplit/>
        </w:trPr>
        <w:tc>
          <w:tcPr>
            <w:tcW w:type="dxa" w:w="9360"/>
            <w:shd w:fill="D5E8F0" w:val="clear"/>
            <w:tcMar>
              <w:top w:type="dxa" w:w="100"/>
              <w:left w:type="dxa" w:w="140"/>
              <w:bottom w:type="dxa" w:w="100"/>
              <w:right w:type="dxa" w:w="140"/>
            </w:tcMar>
          </w:tcPr>
          <w:p>
            <w:r>
              <w:rPr>
                <w:rFonts w:ascii="Arial" w:cs="Arial" w:eastAsia="Arial" w:hAnsi="Arial"/>
                <w:b/>
                <w:bCs/>
                <w:i w:val="false"/>
                <w:iCs w:val="false"/>
                <w:color w:val="0D2F55"/>
                <w:sz w:val="19"/>
                <w:szCs w:val="19"/>
              </w:rPr>
              <w:t xml:space="preserve">Alcance del área:  </w:t>
            </w:r>
            <w:r>
              <w:rPr>
                <w:rFonts w:ascii="Arial" w:cs="Arial" w:eastAsia="Arial" w:hAnsi="Arial"/>
                <w:b w:val="false"/>
                <w:bCs w:val="false"/>
                <w:i w:val="false"/>
                <w:iCs w:val="false"/>
                <w:color w:val="333333"/>
                <w:sz w:val="18"/>
                <w:szCs w:val="18"/>
              </w:rPr>
              <w:t xml:space="preserve">Esta isócrona de 10 minutos en automóvil tiene el tamaño adecuado para hipótesis de demanda en: comparación, especialidad.</w:t>
            </w:r>
          </w:p>
        </w:tc>
      </w:tr>
    </w:tbl>
    <w:tbl>
      <w:tblPr>
        <w:tblW w:type="dxa" w:w="9360"/>
        <w:tblBorders>
          <w:top w:val="single" w:color="FFF2CC" w:sz="6"/>
          <w:left w:val="single" w:color="FFF2CC" w:sz="6"/>
          <w:bottom w:val="single" w:color="FFF2CC" w:sz="6"/>
          <w:right w:val="single" w:color="FFF2CC" w:sz="6"/>
          <w:insideH w:val="none"/>
          <w:insideV w:val="none"/>
        </w:tblBorders>
      </w:tblPr>
      <w:tblGrid>
        <w:gridCol w:w="9360"/>
      </w:tblGrid>
      <w:tr>
        <w:trPr>
          <w:cantSplit/>
        </w:trPr>
        <w:tc>
          <w:tcPr>
            <w:tcW w:type="dxa" w:w="9360"/>
            <w:shd w:fill="FFF2CC" w:val="clear"/>
            <w:tcMar>
              <w:top w:type="dxa" w:w="100"/>
              <w:left w:type="dxa" w:w="140"/>
              <w:bottom w:type="dxa" w:w="100"/>
              <w:right w:type="dxa" w:w="140"/>
            </w:tcMar>
          </w:tcPr>
          <w:p>
            <w:r>
              <w:rPr>
                <w:rFonts w:ascii="Arial" w:cs="Arial" w:eastAsia="Arial" w:hAnsi="Arial"/>
                <w:b/>
                <w:bCs/>
                <w:i w:val="false"/>
                <w:iCs w:val="false"/>
                <w:color w:val="7D6808"/>
                <w:sz w:val="18"/>
                <w:szCs w:val="18"/>
              </w:rPr>
              <w:t xml:space="preserve">Más amplia de lo ideal:  </w:t>
            </w:r>
            <w:r>
              <w:rPr>
                <w:rFonts w:ascii="Arial" w:cs="Arial" w:eastAsia="Arial" w:hAnsi="Arial"/>
                <w:b w:val="false"/>
                <w:bCs w:val="false"/>
                <w:i w:val="false"/>
                <w:iCs w:val="false"/>
                <w:color w:val="7D6808"/>
                <w:sz w:val="18"/>
                <w:szCs w:val="18"/>
              </w:rPr>
              <w:t xml:space="preserve">Es más amplia que la ventana ideal para: conveniencia — esas lecturas se muestran pero pueden diluirse.</w:t>
            </w:r>
          </w:p>
        </w:tc>
      </w:tr>
    </w:tbl>
    <w:p>
      <w:pPr>
        <w:keepNext/>
        <w:keepLines/>
        <w:spacing w:after="100" w:before="200"/>
      </w:pPr>
      <w:r>
        <w:rPr>
          <w:rFonts w:ascii="Arial" w:cs="Arial" w:eastAsia="Arial" w:hAnsi="Arial"/>
          <w:b/>
          <w:bCs/>
          <w:i w:val="false"/>
          <w:iCs w:val="false"/>
          <w:color w:val="2E75B6"/>
          <w:sz w:val="26"/>
          <w:szCs w:val="26"/>
        </w:rPr>
        <w:t xml:space="preserve">Conveniencia — requiere una isócrona de 3–5 minutos</w:t>
      </w:r>
    </w:p>
    <w:p>
      <w:pPr>
        <w:spacing w:after="120" w:before="0"/>
        <w:jc w:val="left"/>
      </w:pPr>
      <w:r>
        <w:rPr>
          <w:rFonts w:ascii="Arial" w:cs="Arial" w:eastAsia="Arial" w:hAnsi="Arial"/>
          <w:b w:val="false"/>
          <w:bCs w:val="false"/>
          <w:i w:val="false"/>
          <w:iCs w:val="false"/>
          <w:color w:val="404040"/>
          <w:sz w:val="22"/>
          <w:szCs w:val="22"/>
        </w:rPr>
        <w:t xml:space="preserve">La conveniencia cotidiana muestra un panorama mixto: los supermercados (15 locales) están fragmentados sin una marca dominante (Vons lidera con apenas 13.3%), mientras que las tiendas de conveniencia (16 locales) ya están institucionalizadas por 7-Eleven y Mobil, que juntas concentran más de seis de cada diez locales. Al ser esta una isócrona de 10 minutos —mayor a la ventana ideal de 3-5 minutos para conveniencia—, esta lectura es orientativa, diluida en un área más grande que el mercado real del alcance.</w:t>
      </w:r>
    </w:p>
    <w:p>
      <w:pPr>
        <w:spacing w:after="120" w:before="0"/>
        <w:jc w:val="left"/>
      </w:pPr>
      <w:r>
        <w:rPr>
          <w:rFonts w:ascii="Arial" w:cs="Arial" w:eastAsia="Arial" w:hAnsi="Arial"/>
          <w:b w:val="false"/>
          <w:bCs w:val="false"/>
          <w:i/>
          <w:iCs/>
          <w:color w:val="555555"/>
          <w:sz w:val="18"/>
          <w:szCs w:val="18"/>
        </w:rPr>
        <w:t xml:space="preserve">Esta área es mayor que la ventana ideal de este alcance, por lo que la lectura puede diluirse en un mercado más amplio que el alcance real de la categoría.</w:t>
      </w:r>
    </w:p>
    <w:p>
      <w:pPr>
        <w:keepNext/>
        <w:keepLines/>
        <w:spacing w:after="100" w:before="200"/>
      </w:pPr>
      <w:r>
        <w:rPr>
          <w:rFonts w:ascii="Arial" w:cs="Arial" w:eastAsia="Arial" w:hAnsi="Arial"/>
          <w:b/>
          <w:bCs/>
          <w:i w:val="false"/>
          <w:iCs w:val="false"/>
          <w:color w:val="2E75B6"/>
          <w:sz w:val="26"/>
          <w:szCs w:val="26"/>
        </w:rPr>
        <w:t xml:space="preserve">Comparación — requiere una isócrona de 5–10 minutos</w:t>
      </w:r>
    </w:p>
    <w:p>
      <w:pPr>
        <w:spacing w:after="120" w:before="0"/>
        <w:jc w:val="left"/>
      </w:pPr>
      <w:r>
        <w:rPr>
          <w:rFonts w:ascii="Arial" w:cs="Arial" w:eastAsia="Arial" w:hAnsi="Arial"/>
          <w:b w:val="false"/>
          <w:bCs w:val="false"/>
          <w:i w:val="false"/>
          <w:iCs w:val="false"/>
          <w:color w:val="404040"/>
          <w:sz w:val="22"/>
          <w:szCs w:val="22"/>
        </w:rPr>
        <w:t xml:space="preserve">En comparación, la lectura más relevante no es de escasez general sino de desalineación cultural: con 70,515 residentes hispanos o latinos (48.7% de la población), el giro Mexican tiene apenas 6 locales, el 100% de cadena (Chipotle, Rubio's, Taco Bell), sin un solo concepto independiente o de servicio completo. La ropa y el retail de comparación (25 locales en Clothing Stores) también son modestos frente al tamaño del mercado. Como referencia de contexto geográfico —no parte de los datos de este reporte—, a corta distancia se ubica Otay Ranch Town Center, un centro comercial consolidado; cualquier recomendación de comparación debe declarar por qué el cliente se quedaría en la zona en lugar de manejar hasta ese destino.</w:t>
      </w:r>
    </w:p>
    <w:p>
      <w:pPr>
        <w:keepNext/>
        <w:keepLines/>
        <w:spacing w:after="100" w:before="200"/>
      </w:pPr>
      <w:r>
        <w:rPr>
          <w:rFonts w:ascii="Arial" w:cs="Arial" w:eastAsia="Arial" w:hAnsi="Arial"/>
          <w:b/>
          <w:bCs/>
          <w:i w:val="false"/>
          <w:iCs w:val="false"/>
          <w:color w:val="2E75B6"/>
          <w:sz w:val="26"/>
          <w:szCs w:val="26"/>
        </w:rPr>
        <w:t xml:space="preserve">Especialidad — requiere una isócrona de 10–15 minutos</w:t>
      </w:r>
    </w:p>
    <w:p>
      <w:pPr>
        <w:spacing w:after="120" w:before="0"/>
        <w:jc w:val="left"/>
      </w:pPr>
      <w:r>
        <w:rPr>
          <w:rFonts w:ascii="Arial" w:cs="Arial" w:eastAsia="Arial" w:hAnsi="Arial"/>
          <w:b w:val="false"/>
          <w:bCs w:val="false"/>
          <w:i w:val="false"/>
          <w:iCs w:val="false"/>
          <w:color w:val="404040"/>
          <w:sz w:val="22"/>
          <w:szCs w:val="22"/>
        </w:rPr>
        <w:t xml:space="preserve">En el borde inferior de la ventana de especialidad, la huella es mínima: solo una agencia automotriz, un cine, un museo y un teatro en toda la isócrona. Un estudio con una isócrona de 12 a 15 minutos probablemente sería necesario para capturar el conjunto competitivo real de especialidad; con los datos actuales, esta lectura no sostiene una hipótesis firme por sí sola.</w:t>
      </w:r>
    </w:p>
    <w:p>
      <w:pPr>
        <w:keepNext/>
        <w:keepLines/>
        <w:spacing w:after="100" w:before="200"/>
      </w:pPr>
      <w:r>
        <w:rPr>
          <w:rFonts w:ascii="Arial" w:cs="Arial" w:eastAsia="Arial" w:hAnsi="Arial"/>
          <w:b/>
          <w:bCs/>
          <w:i w:val="false"/>
          <w:iCs w:val="false"/>
          <w:color w:val="2E75B6"/>
          <w:sz w:val="26"/>
          <w:szCs w:val="26"/>
        </w:rPr>
        <w:t xml:space="preserve">Matriz de interpretación: densidad + perfil de marcas</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2400"/>
        <w:gridCol w:w="3160"/>
        <w:gridCol w:w="3800"/>
      </w:tblGrid>
      <w:tr>
        <w:trPr>
          <w:cantSplit/>
          <w:tblHeader/>
        </w:trPr>
        <w:tc>
          <w:tcPr>
            <w:tcW w:type="dxa" w:w="24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Lectura de densidad</w:t>
            </w:r>
          </w:p>
        </w:tc>
        <w:tc>
          <w:tcPr>
            <w:tcW w:type="dxa" w:w="31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Perfil de marcas (POIs)</w:t>
            </w:r>
          </w:p>
        </w:tc>
        <w:tc>
          <w:tcPr>
            <w:tcW w:type="dxa" w:w="38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Conclusión para el inversionista</w:t>
            </w:r>
          </w:p>
        </w:tc>
      </w:tr>
      <w:tr>
        <w:trPr>
          <w:cantSplit/>
        </w:trPr>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Luce sub-atendida</w:t>
            </w:r>
          </w:p>
        </w:tc>
        <w:tc>
          <w:tcPr>
            <w:tcW w:type="dxa" w:w="31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Dominan independientes / #N/D</w:t>
            </w:r>
          </w:p>
        </w:tc>
        <w:tc>
          <w:tcPr>
            <w:tcW w:type="dxa" w:w="3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Mercado informal sin consolidar. Fuerte apertura para una marca formal.</w:t>
            </w:r>
          </w:p>
        </w:tc>
      </w:tr>
      <w:tr>
        <w:trPr>
          <w:cantSplit/>
        </w:trPr>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Luce sub-atendida</w:t>
            </w:r>
          </w:p>
        </w:tc>
        <w:tc>
          <w:tcPr>
            <w:tcW w:type="dxa" w:w="31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Sin marcas reconocidas</w:t>
            </w:r>
          </w:p>
        </w:tc>
        <w:tc>
          <w:tcPr>
            <w:tcW w:type="dxa" w:w="3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Mercado virgen para una franquicia o cadena.</w:t>
            </w:r>
          </w:p>
        </w:tc>
      </w:tr>
      <w:tr>
        <w:trPr>
          <w:cantSplit/>
        </w:trPr>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Luce sub-atendida</w:t>
            </w:r>
          </w:p>
        </w:tc>
        <w:tc>
          <w:tcPr>
            <w:tcW w:type="dxa" w:w="31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Presencia de marcas de gama baja</w:t>
            </w:r>
          </w:p>
        </w:tc>
        <w:tc>
          <w:tcPr>
            <w:tcW w:type="dxa" w:w="3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Brecha de posicionamiento. Entrar con una propuesta premium para mayor ingreso.</w:t>
            </w:r>
          </w:p>
        </w:tc>
      </w:tr>
      <w:tr>
        <w:trPr>
          <w:cantSplit/>
        </w:trPr>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Equilibrada</w:t>
            </w:r>
          </w:p>
        </w:tc>
        <w:tc>
          <w:tcPr>
            <w:tcW w:type="dxa" w:w="31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Fragmentado entre marcas</w:t>
            </w:r>
          </w:p>
        </w:tc>
        <w:tc>
          <w:tcPr>
            <w:tcW w:type="dxa" w:w="3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Mercado maduro. Entrada posible con diferenciación clara.</w:t>
            </w:r>
          </w:p>
        </w:tc>
      </w:tr>
      <w:tr>
        <w:trPr>
          <w:cantSplit/>
        </w:trPr>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Luce saturada</w:t>
            </w:r>
          </w:p>
        </w:tc>
        <w:tc>
          <w:tcPr>
            <w:tcW w:type="dxa" w:w="31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Una marca copa 50%+</w:t>
            </w:r>
          </w:p>
        </w:tc>
        <w:tc>
          <w:tcPr>
            <w:tcW w:type="dxa" w:w="38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Saturación por un jugador dominante. Entrar solo con una propuesta radicalmente distinta.</w:t>
            </w:r>
          </w:p>
        </w:tc>
      </w:tr>
      <w:tr>
        <w:trPr>
          <w:cantSplit/>
        </w:trPr>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Luce saturada</w:t>
            </w:r>
          </w:p>
        </w:tc>
        <w:tc>
          <w:tcPr>
            <w:tcW w:type="dxa" w:w="31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Múltiples cadenas nacionales</w:t>
            </w:r>
          </w:p>
        </w:tc>
        <w:tc>
          <w:tcPr>
            <w:tcW w:type="dxa" w:w="38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Mercado institucionalizado. Alto costo de entrada, márgenes comprimidos.</w:t>
            </w:r>
          </w:p>
        </w:tc>
      </w:tr>
    </w:tbl>
    <w:p>
      <w:pPr>
        <w:keepNext/>
        <w:keepLines/>
        <w:spacing w:after="100" w:before="200"/>
      </w:pPr>
      <w:r>
        <w:rPr>
          <w:rFonts w:ascii="Arial" w:cs="Arial" w:eastAsia="Arial" w:hAnsi="Arial"/>
          <w:b/>
          <w:bCs/>
          <w:i w:val="false"/>
          <w:iCs w:val="false"/>
          <w:color w:val="2E75B6"/>
          <w:sz w:val="26"/>
          <w:szCs w:val="26"/>
        </w:rPr>
        <w:t xml:space="preserve">Insights de hipótesis de demanda</w:t>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01</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EL VACÍO MÁS CLARO: GASTRONOMÍA MEXICANA DE SERVICIO COMPLETO</w:t>
            </w:r>
          </w:p>
          <w:p>
            <w:r>
              <w:rPr>
                <w:rFonts w:ascii="Arial" w:cs="Arial" w:eastAsia="Arial" w:hAnsi="Arial"/>
                <w:b w:val="false"/>
                <w:bCs w:val="false"/>
                <w:i/>
                <w:iCs/>
                <w:color w:val="404040"/>
                <w:sz w:val="18"/>
                <w:szCs w:val="18"/>
              </w:rPr>
              <w:t xml:space="preserve">70,515 residentes hispanos o latinos (48.7%) conviven con solo 6 locales del giro Mexican, el 100% de cadena. Es la desalineación más grande entre perfil demográfico y oferta comercial de todo el reporte. Hipótesis a validar con estudio de isócrona.</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02</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VENTANA MATUTINA TEMPRANA AÚN NO EXPLOTADA A FONDO</w:t>
            </w:r>
          </w:p>
          <w:p>
            <w:r>
              <w:rPr>
                <w:rFonts w:ascii="Arial" w:cs="Arial" w:eastAsia="Arial" w:hAnsi="Arial"/>
                <w:b w:val="false"/>
                <w:bCs w:val="false"/>
                <w:i/>
                <w:iCs/>
                <w:color w:val="404040"/>
                <w:sz w:val="18"/>
                <w:szCs w:val="18"/>
              </w:rPr>
              <w:t xml:space="preserve">Con 37,287 residentes (62.1%) saliendo antes de las 8:00 a.m. y Coffee Shops en densidad moderada (27 locales, Starbucks con 40.7%), hay espacio para un formato calibrado específicamente al tramo de 5:00 a 7:00 a.m.</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03</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ABARROTES ESPECIALIZADOS COMO OPORTUNIDAD SECUNDARIA</w:t>
            </w:r>
          </w:p>
          <w:p>
            <w:r>
              <w:rPr>
                <w:rFonts w:ascii="Arial" w:cs="Arial" w:eastAsia="Arial" w:hAnsi="Arial"/>
                <w:b w:val="false"/>
                <w:bCs w:val="false"/>
                <w:i/>
                <w:iCs/>
                <w:color w:val="404040"/>
                <w:sz w:val="18"/>
                <w:szCs w:val="18"/>
              </w:rPr>
              <w:t xml:space="preserve">Los 15 supermercados de la zona están fragmentados, sin marca dominante (máximo 13.3%). Frente a una base de 45,281 hogares y una población mayoritariamente hispana, un formato de abarrotes especializado tiene espacio para diferenciarse por surtido, no por escala.</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04</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NICHO EN GASTRONOMÍA ASIÁTICA DIFERENCIADA</w:t>
            </w:r>
          </w:p>
          <w:p>
            <w:r>
              <w:rPr>
                <w:rFonts w:ascii="Arial" w:cs="Arial" w:eastAsia="Arial" w:hAnsi="Arial"/>
                <w:b w:val="false"/>
                <w:bCs w:val="false"/>
                <w:i/>
                <w:iCs/>
                <w:color w:val="404040"/>
                <w:sz w:val="18"/>
                <w:szCs w:val="18"/>
              </w:rPr>
              <w:t xml:space="preserve">La población asiática (25,903, 17.9%) es un volumen considerable aunque su proporción esté por debajo del promedio interno de la zona —un mercado silencioso que no debe descartarse—. El giro Asian, sin embargo, está copado por Panda Express (80.0%), lo que exige una propuesta claramente diferenciada, no una entrada convencional.</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05</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VALIDAR ANTES DE COMPROMETER CAPITAL</w:t>
            </w:r>
          </w:p>
          <w:p>
            <w:r>
              <w:rPr>
                <w:rFonts w:ascii="Arial" w:cs="Arial" w:eastAsia="Arial" w:hAnsi="Arial"/>
                <w:b w:val="false"/>
                <w:bCs w:val="false"/>
                <w:i/>
                <w:iCs/>
                <w:color w:val="404040"/>
                <w:sz w:val="18"/>
                <w:szCs w:val="18"/>
              </w:rPr>
              <w:t xml:space="preserve">Estas lecturas son hipótesis construidas desde la demografía del ACS y la densidad de POIs, no brechas cuantificadas. Un estudio de isócrona por categoría es el siguiente paso recomendado antes de comprometer capital.</w:t>
            </w:r>
          </w:p>
        </w:tc>
      </w:tr>
    </w:tbl>
    <w:p>
      <w:pPr>
        <w:spacing w:after="40"/>
      </w:pPr>
      <w:r>
        <w:rPr>
          <w:rFonts w:ascii="Arial" w:cs="Arial" w:eastAsia="Arial" w:hAnsi="Arial"/>
          <w:b w:val="false"/>
          <w:bCs w:val="false"/>
          <w:i w:val="false"/>
          <w:iCs w:val="false"/>
          <w:color w:val="404040"/>
          <w:sz w:val="22"/>
          <w:szCs w:val="22"/>
        </w:rPr>
        <w:t xml:space="preserve"/>
      </w:r>
    </w:p>
    <w:p>
      <w:pPr>
        <w:pBdr>
          <w:left w:val="single" w:color="2E75B6" w:sz="12" w:space="8"/>
        </w:pBdr>
        <w:spacing w:after="120" w:before="160"/>
        <w:ind w:left="120"/>
      </w:pPr>
      <w:r>
        <w:rPr>
          <w:rFonts w:ascii="Arial" w:cs="Arial" w:eastAsia="Arial" w:hAnsi="Arial"/>
          <w:b w:val="false"/>
          <w:bCs w:val="false"/>
          <w:i/>
          <w:iCs/>
          <w:color w:val="2E75B6"/>
          <w:sz w:val="20"/>
          <w:szCs w:val="20"/>
        </w:rPr>
        <w:t xml:space="preserve">Con las hipótesis de demanda mapeadas, llegamos al núcleo del reporte: recomendaciones de negocio concretas, ordenadas por probabilidad de éxito — como hipótesis por validar.</w:t>
      </w:r>
    </w:p>
    <w:p>
      <w:r>
        <w:br w:type="page"/>
      </w:r>
    </w:p>
    <w:p>
      <w:pPr>
        <w:keepNext/>
        <w:keepLines/>
        <w:pBdr>
          <w:bottom w:val="single" w:color="2E75B6" w:sz="12" w:space="4"/>
        </w:pBdr>
        <w:spacing w:after="80" w:before="240"/>
      </w:pPr>
      <w:r>
        <w:rPr>
          <w:rFonts w:ascii="Arial" w:cs="Arial" w:eastAsia="Arial" w:hAnsi="Arial"/>
          <w:b/>
          <w:bCs/>
          <w:i w:val="false"/>
          <w:iCs w:val="false"/>
          <w:color w:val="1B4F8A"/>
          <w:sz w:val="32"/>
          <w:szCs w:val="32"/>
        </w:rPr>
        <w:t xml:space="preserve">06  ·  RECOMENDACIONES ESTRATÉGICAS DE NEGOCIO</w:t>
      </w:r>
    </w:p>
    <w:p>
      <w:pPr>
        <w:keepNext/>
        <w:keepLines/>
        <w:spacing w:after="160"/>
      </w:pPr>
      <w:r>
        <w:rPr>
          <w:rFonts w:ascii="Arial" w:cs="Arial" w:eastAsia="Arial" w:hAnsi="Arial"/>
          <w:b w:val="false"/>
          <w:bCs w:val="false"/>
          <w:i/>
          <w:iCs/>
          <w:color w:val="555555"/>
          <w:sz w:val="21"/>
          <w:szCs w:val="21"/>
        </w:rPr>
        <w:t xml:space="preserve">¿Cuáles son los giros con mayor probabilidad de éxito en esta zona, como hipótesis a validar?</w:t>
      </w:r>
    </w:p>
    <w:p>
      <w:pPr>
        <w:spacing w:after="120" w:before="0"/>
        <w:jc w:val="left"/>
      </w:pPr>
      <w:r>
        <w:rPr>
          <w:rFonts w:ascii="Arial" w:cs="Arial" w:eastAsia="Arial" w:hAnsi="Arial"/>
          <w:b w:val="false"/>
          <w:bCs w:val="false"/>
          <w:i w:val="false"/>
          <w:iCs w:val="false"/>
          <w:color w:val="404040"/>
          <w:sz w:val="20"/>
          <w:szCs w:val="20"/>
        </w:rPr>
        <w:t xml:space="preserve">Las siguientes recomendaciones son hipótesis construidas desde el ingreso, la edad, las ocupaciones, la movilidad, la densidad de POIs y el perfil de marcas — cada una filtrada por el alcance de isócrona que su categoría requiere, no por brechas cuantificadas del modelo. Están ordenadas de mayor a menor viabilidad y deben validarse con investigación de campo. Supuesto de inversionista para este reporte (D1): inversión inicial de $100,000-$500,000 USD por unidad, formato de barrio en local rentado (excluye compra de inmueble): $ = menos de $150,000, $$ = $150,000-$300,000, $$$ = $300,000-$500,000.</w:t>
      </w:r>
    </w:p>
    <w:tbl>
      <w:tblPr>
        <w:tblW w:type="dxa" w:w="9360"/>
        <w:tblBorders>
          <w:top w:val="single" w:color="9DC3E6" w:sz="2"/>
          <w:left w:val="single" w:color="9DC3E6" w:sz="2"/>
          <w:bottom w:val="single" w:color="9DC3E6" w:sz="2"/>
          <w:right w:val="single" w:color="9DC3E6" w:sz="2"/>
          <w:insideH w:val="none"/>
          <w:insideV w:val="none"/>
        </w:tblBorders>
      </w:tblPr>
      <w:tblGrid>
        <w:gridCol w:w="700"/>
        <w:gridCol w:w="8660"/>
      </w:tblGrid>
      <w:tr>
        <w:trPr>
          <w:cantSplit/>
        </w:trPr>
        <w:tc>
          <w:tcPr>
            <w:tcW w:type="dxa" w:w="700"/>
            <w:shd w:fill="0D2F55" w:val="clear"/>
            <w:tcMar>
              <w:top w:type="dxa" w:w="60"/>
              <w:left w:type="dxa" w:w="40"/>
              <w:bottom w:type="dxa" w:w="60"/>
              <w:right w:type="dxa" w:w="40"/>
            </w:tcMar>
            <w:vAlign w:val="center"/>
          </w:tcPr>
          <w:p>
            <w:pPr>
              <w:jc w:val="center"/>
            </w:pPr>
            <w:r>
              <w:rPr>
                <w:rFonts w:ascii="Arial" w:cs="Arial" w:eastAsia="Arial" w:hAnsi="Arial"/>
                <w:b/>
                <w:bCs/>
                <w:i w:val="false"/>
                <w:iCs w:val="false"/>
                <w:color w:val="FFFFFF"/>
                <w:sz w:val="26"/>
                <w:szCs w:val="26"/>
              </w:rPr>
              <w:t xml:space="preserve">1</w:t>
            </w:r>
          </w:p>
        </w:tc>
        <w:tc>
          <w:tcPr>
            <w:tcW w:type="dxa" w:w="8660"/>
            <w:tcMar>
              <w:top w:type="dxa" w:w="70"/>
              <w:left w:type="dxa" w:w="140"/>
              <w:bottom w:type="dxa" w:w="70"/>
              <w:right w:type="dxa" w:w="120"/>
            </w:tcMar>
          </w:tcPr>
          <w:p>
            <w:pPr>
              <w:spacing w:after="50"/>
              <w:jc w:val="both"/>
            </w:pPr>
            <w:r>
              <w:rPr>
                <w:rFonts w:ascii="Arial" w:cs="Arial" w:eastAsia="Arial" w:hAnsi="Arial"/>
                <w:b w:val="false"/>
                <w:bCs w:val="false"/>
                <w:i w:val="false"/>
                <w:iCs w:val="false"/>
                <w:color w:val="404040"/>
                <w:sz w:val="18"/>
                <w:szCs w:val="18"/>
              </w:rPr>
              <w:t xml:space="preserve">Restaurante mexicano de servicio completo. Con 70,515 residentes hispanos o latinos (48.7% de la población) y solo 6 locales en el giro Mexican —el 100% de cadena, sin un solo concepto independiente o de servicio completo—, esta es la desalineación más grande de todo el reporte entre perfil demográfico y oferta comercial. El diferenciador frente a las cadenas ya instaladas (Chipotle, Rubio's, Taco Bell) es la experiencia de mesa y menú completo, no el formato rápido. Hipótesis a validar con estudio de isócrona.</w:t>
            </w:r>
          </w:p>
          <w:p>
            <w:r>
              <w:rPr>
                <w:rFonts w:ascii="Arial" w:cs="Arial" w:eastAsia="Arial" w:hAnsi="Arial"/>
                <w:b w:val="false"/>
                <w:bCs w:val="false"/>
                <w:i/>
                <w:iCs/>
                <w:color w:val="1B4F8A"/>
                <w:sz w:val="17"/>
                <w:szCs w:val="17"/>
              </w:rPr>
              <w:t xml:space="preserve">Nivel de ingreso: Medio a medio-alto ($60K-$150K, con cola sólida sobre $200K)   |   Edad: 30-59, perfil familiar   |   Género: Mixto   |   Competencia: BAJA — 6 locales en el giro, 100% de cadena de formato rápido, sin oferta de servicio completo   |   Horario pico: Todos los días, 1:00-9:00 p.m., con pico de fin de semana</w:t>
            </w:r>
          </w:p>
        </w:tc>
      </w:tr>
    </w:tbl>
    <w:p>
      <w:pPr>
        <w:spacing w:after="50"/>
      </w:pPr>
      <w:r>
        <w:rPr>
          <w:rFonts w:ascii="Arial" w:cs="Arial" w:eastAsia="Arial" w:hAnsi="Arial"/>
          <w:b w:val="false"/>
          <w:bCs w:val="false"/>
          <w:i w:val="false"/>
          <w:iCs w:val="false"/>
          <w:color w:val="404040"/>
          <w:sz w:val="22"/>
          <w:szCs w:val="22"/>
        </w:rPr>
        <w:t xml:space="preserve"/>
      </w:r>
    </w:p>
    <w:tbl>
      <w:tblPr>
        <w:tblW w:type="dxa" w:w="9360"/>
        <w:tblBorders>
          <w:top w:val="single" w:color="9DC3E6" w:sz="2"/>
          <w:left w:val="single" w:color="9DC3E6" w:sz="2"/>
          <w:bottom w:val="single" w:color="9DC3E6" w:sz="2"/>
          <w:right w:val="single" w:color="9DC3E6" w:sz="2"/>
          <w:insideH w:val="none"/>
          <w:insideV w:val="none"/>
        </w:tblBorders>
      </w:tblPr>
      <w:tblGrid>
        <w:gridCol w:w="700"/>
        <w:gridCol w:w="8660"/>
      </w:tblGrid>
      <w:tr>
        <w:trPr>
          <w:cantSplit/>
        </w:trPr>
        <w:tc>
          <w:tcPr>
            <w:tcW w:type="dxa" w:w="700"/>
            <w:shd w:fill="0D2F55" w:val="clear"/>
            <w:tcMar>
              <w:top w:type="dxa" w:w="60"/>
              <w:left w:type="dxa" w:w="40"/>
              <w:bottom w:type="dxa" w:w="60"/>
              <w:right w:type="dxa" w:w="40"/>
            </w:tcMar>
            <w:vAlign w:val="center"/>
          </w:tcPr>
          <w:p>
            <w:pPr>
              <w:jc w:val="center"/>
            </w:pPr>
            <w:r>
              <w:rPr>
                <w:rFonts w:ascii="Arial" w:cs="Arial" w:eastAsia="Arial" w:hAnsi="Arial"/>
                <w:b/>
                <w:bCs/>
                <w:i w:val="false"/>
                <w:iCs w:val="false"/>
                <w:color w:val="FFFFFF"/>
                <w:sz w:val="26"/>
                <w:szCs w:val="26"/>
              </w:rPr>
              <w:t xml:space="preserve">2</w:t>
            </w:r>
          </w:p>
        </w:tc>
        <w:tc>
          <w:tcPr>
            <w:tcW w:type="dxa" w:w="8660"/>
            <w:tcMar>
              <w:top w:type="dxa" w:w="70"/>
              <w:left w:type="dxa" w:w="140"/>
              <w:bottom w:type="dxa" w:w="70"/>
              <w:right w:type="dxa" w:w="120"/>
            </w:tcMar>
          </w:tcPr>
          <w:p>
            <w:pPr>
              <w:spacing w:after="50"/>
              <w:jc w:val="both"/>
            </w:pPr>
            <w:r>
              <w:rPr>
                <w:rFonts w:ascii="Arial" w:cs="Arial" w:eastAsia="Arial" w:hAnsi="Arial"/>
                <w:b w:val="false"/>
                <w:bCs w:val="false"/>
                <w:i w:val="false"/>
                <w:iCs w:val="false"/>
                <w:color w:val="404040"/>
                <w:sz w:val="18"/>
                <w:szCs w:val="18"/>
              </w:rPr>
              <w:t xml:space="preserve">Café y desayuno rápido calibrado a la salida matutina temprana. El 62.1% de los residentes empleados (37,287) sale de casa antes de las 8:00 a.m., con picos entre las 6:00 y las 7:59 a.m. (25,983 personas). El giro Coffee Shops tiene densidad moderada (27 locales, Starbucks con 40.7% de concentración, sin llegar a copar el mercado), lo que deja espacio para un formato express calibrado específicamente al tramo de 5:00 a 7:00 a.m., antes del horario típico de apertura de la competencia establecida.</w:t>
            </w:r>
          </w:p>
          <w:p>
            <w:r>
              <w:rPr>
                <w:rFonts w:ascii="Arial" w:cs="Arial" w:eastAsia="Arial" w:hAnsi="Arial"/>
                <w:b w:val="false"/>
                <w:bCs w:val="false"/>
                <w:i/>
                <w:iCs/>
                <w:color w:val="1B4F8A"/>
                <w:sz w:val="17"/>
                <w:szCs w:val="17"/>
              </w:rPr>
              <w:t xml:space="preserve">Nivel de ingreso: Medio a medio-alto   |   Edad: 25-55, trabajadores que salen temprano   |   Género: Mixto   |   Competencia: MEDIA — 27 locales, marca líder con 40.7% de concentración, sin saturación total   |   Horario pico: Todos los días, 5:00-9:00 a.m.</w:t>
            </w:r>
          </w:p>
        </w:tc>
      </w:tr>
    </w:tbl>
    <w:p>
      <w:pPr>
        <w:spacing w:after="50"/>
      </w:pPr>
      <w:r>
        <w:rPr>
          <w:rFonts w:ascii="Arial" w:cs="Arial" w:eastAsia="Arial" w:hAnsi="Arial"/>
          <w:b w:val="false"/>
          <w:bCs w:val="false"/>
          <w:i w:val="false"/>
          <w:iCs w:val="false"/>
          <w:color w:val="404040"/>
          <w:sz w:val="22"/>
          <w:szCs w:val="22"/>
        </w:rPr>
        <w:t xml:space="preserve"/>
      </w:r>
    </w:p>
    <w:tbl>
      <w:tblPr>
        <w:tblW w:type="dxa" w:w="9360"/>
        <w:tblBorders>
          <w:top w:val="single" w:color="9DC3E6" w:sz="2"/>
          <w:left w:val="single" w:color="9DC3E6" w:sz="2"/>
          <w:bottom w:val="single" w:color="9DC3E6" w:sz="2"/>
          <w:right w:val="single" w:color="9DC3E6" w:sz="2"/>
          <w:insideH w:val="none"/>
          <w:insideV w:val="none"/>
        </w:tblBorders>
      </w:tblPr>
      <w:tblGrid>
        <w:gridCol w:w="700"/>
        <w:gridCol w:w="8660"/>
      </w:tblGrid>
      <w:tr>
        <w:trPr>
          <w:cantSplit/>
        </w:trPr>
        <w:tc>
          <w:tcPr>
            <w:tcW w:type="dxa" w:w="700"/>
            <w:shd w:fill="0D2F55" w:val="clear"/>
            <w:tcMar>
              <w:top w:type="dxa" w:w="60"/>
              <w:left w:type="dxa" w:w="40"/>
              <w:bottom w:type="dxa" w:w="60"/>
              <w:right w:type="dxa" w:w="40"/>
            </w:tcMar>
            <w:vAlign w:val="center"/>
          </w:tcPr>
          <w:p>
            <w:pPr>
              <w:jc w:val="center"/>
            </w:pPr>
            <w:r>
              <w:rPr>
                <w:rFonts w:ascii="Arial" w:cs="Arial" w:eastAsia="Arial" w:hAnsi="Arial"/>
                <w:b/>
                <w:bCs/>
                <w:i w:val="false"/>
                <w:iCs w:val="false"/>
                <w:color w:val="FFFFFF"/>
                <w:sz w:val="26"/>
                <w:szCs w:val="26"/>
              </w:rPr>
              <w:t xml:space="preserve">3</w:t>
            </w:r>
          </w:p>
        </w:tc>
        <w:tc>
          <w:tcPr>
            <w:tcW w:type="dxa" w:w="8660"/>
            <w:tcMar>
              <w:top w:type="dxa" w:w="70"/>
              <w:left w:type="dxa" w:w="140"/>
              <w:bottom w:type="dxa" w:w="70"/>
              <w:right w:type="dxa" w:w="120"/>
            </w:tcMar>
          </w:tcPr>
          <w:p>
            <w:pPr>
              <w:spacing w:after="50"/>
              <w:jc w:val="both"/>
            </w:pPr>
            <w:r>
              <w:rPr>
                <w:rFonts w:ascii="Arial" w:cs="Arial" w:eastAsia="Arial" w:hAnsi="Arial"/>
                <w:b w:val="false"/>
                <w:bCs w:val="false"/>
                <w:i w:val="false"/>
                <w:iCs w:val="false"/>
                <w:color w:val="404040"/>
                <w:sz w:val="18"/>
                <w:szCs w:val="18"/>
              </w:rPr>
              <w:t xml:space="preserve">Abarrotes o mercado especializado de surtido latino. Los 15 supermercados de la zona están fragmentados sin marca dominante (Vons lidera con apenas 13.3%) frente a una base de 45,281 hogares y una población mayoritariamente hispana (70,515 residentes, 48.7%). El diferenciador es el surtido especializado, no la escala: un formato de abarrotes que refleje directamente a la mayoría demográfica de la zona, distinto de los supermercados generalistas ya presentes.</w:t>
            </w:r>
          </w:p>
          <w:p>
            <w:r>
              <w:rPr>
                <w:rFonts w:ascii="Arial" w:cs="Arial" w:eastAsia="Arial" w:hAnsi="Arial"/>
                <w:b w:val="false"/>
                <w:bCs w:val="false"/>
                <w:i/>
                <w:iCs/>
                <w:color w:val="1B4F8A"/>
                <w:sz w:val="17"/>
                <w:szCs w:val="17"/>
              </w:rPr>
              <w:t xml:space="preserve">Nivel de ingreso: Medio a medio-alto   |   Edad: Familias, todas las edades adultas   |   Género: Mixto   |   Competencia: MEDIA — 15 locales fragmentados, sin marca líder por encima del 15% de concentración   |   Horario pico: Todos los días, con pico de fin de semana</w:t>
            </w:r>
          </w:p>
        </w:tc>
      </w:tr>
    </w:tbl>
    <w:p>
      <w:pPr>
        <w:spacing w:after="50"/>
      </w:pPr>
      <w:r>
        <w:rPr>
          <w:rFonts w:ascii="Arial" w:cs="Arial" w:eastAsia="Arial" w:hAnsi="Arial"/>
          <w:b w:val="false"/>
          <w:bCs w:val="false"/>
          <w:i w:val="false"/>
          <w:iCs w:val="false"/>
          <w:color w:val="404040"/>
          <w:sz w:val="22"/>
          <w:szCs w:val="22"/>
        </w:rPr>
        <w:t xml:space="preserve"/>
      </w:r>
    </w:p>
    <w:tbl>
      <w:tblPr>
        <w:tblW w:type="dxa" w:w="9360"/>
        <w:tblBorders>
          <w:top w:val="single" w:color="9DC3E6" w:sz="2"/>
          <w:left w:val="single" w:color="9DC3E6" w:sz="2"/>
          <w:bottom w:val="single" w:color="9DC3E6" w:sz="2"/>
          <w:right w:val="single" w:color="9DC3E6" w:sz="2"/>
          <w:insideH w:val="none"/>
          <w:insideV w:val="none"/>
        </w:tblBorders>
      </w:tblPr>
      <w:tblGrid>
        <w:gridCol w:w="700"/>
        <w:gridCol w:w="8660"/>
      </w:tblGrid>
      <w:tr>
        <w:trPr>
          <w:cantSplit/>
        </w:trPr>
        <w:tc>
          <w:tcPr>
            <w:tcW w:type="dxa" w:w="700"/>
            <w:shd w:fill="0D2F55" w:val="clear"/>
            <w:tcMar>
              <w:top w:type="dxa" w:w="60"/>
              <w:left w:type="dxa" w:w="40"/>
              <w:bottom w:type="dxa" w:w="60"/>
              <w:right w:type="dxa" w:w="40"/>
            </w:tcMar>
            <w:vAlign w:val="center"/>
          </w:tcPr>
          <w:p>
            <w:pPr>
              <w:jc w:val="center"/>
            </w:pPr>
            <w:r>
              <w:rPr>
                <w:rFonts w:ascii="Arial" w:cs="Arial" w:eastAsia="Arial" w:hAnsi="Arial"/>
                <w:b/>
                <w:bCs/>
                <w:i w:val="false"/>
                <w:iCs w:val="false"/>
                <w:color w:val="FFFFFF"/>
                <w:sz w:val="26"/>
                <w:szCs w:val="26"/>
              </w:rPr>
              <w:t xml:space="preserve">4</w:t>
            </w:r>
          </w:p>
        </w:tc>
        <w:tc>
          <w:tcPr>
            <w:tcW w:type="dxa" w:w="8660"/>
            <w:tcMar>
              <w:top w:type="dxa" w:w="70"/>
              <w:left w:type="dxa" w:w="140"/>
              <w:bottom w:type="dxa" w:w="70"/>
              <w:right w:type="dxa" w:w="120"/>
            </w:tcMar>
          </w:tcPr>
          <w:p>
            <w:pPr>
              <w:spacing w:after="50"/>
              <w:jc w:val="both"/>
            </w:pPr>
            <w:r>
              <w:rPr>
                <w:rFonts w:ascii="Arial" w:cs="Arial" w:eastAsia="Arial" w:hAnsi="Arial"/>
                <w:b w:val="false"/>
                <w:bCs w:val="false"/>
                <w:i w:val="false"/>
                <w:iCs w:val="false"/>
                <w:color w:val="404040"/>
                <w:sz w:val="18"/>
                <w:szCs w:val="18"/>
              </w:rPr>
              <w:t xml:space="preserve">Concepto gastronómico asiático diferenciado. La población asiática (25,903 residentes, 17.9%) es un volumen considerable aunque su proporción esté por debajo del promedio interno de la zona —un mercado silencioso que no debe descartarse—. El giro Asian está copado por Panda Express (80.0% de concentración), por lo que solo una propuesta claramente diferenciada, no una entrada convencional de formato rápido, tiene una oportunidad real.</w:t>
            </w:r>
          </w:p>
          <w:p>
            <w:r>
              <w:rPr>
                <w:rFonts w:ascii="Arial" w:cs="Arial" w:eastAsia="Arial" w:hAnsi="Arial"/>
                <w:b w:val="false"/>
                <w:bCs w:val="false"/>
                <w:i/>
                <w:iCs/>
                <w:color w:val="1B4F8A"/>
                <w:sz w:val="17"/>
                <w:szCs w:val="17"/>
              </w:rPr>
              <w:t xml:space="preserve">Nivel de ingreso: Medio a medio-alto   |   Edad: 25-54   |   Género: Mixto   |   Competencia: ALTA — Panda Express concentra el 80.0% del giro; barrera de entrada alta salvo con propuesta radicalmente distinta   |   Horario pico: Todos los días, 11:00 a.m.-8:00 p.m.</w:t>
            </w:r>
          </w:p>
        </w:tc>
      </w:tr>
    </w:tbl>
    <w:p>
      <w:pPr>
        <w:spacing w:after="50"/>
      </w:pPr>
      <w:r>
        <w:rPr>
          <w:rFonts w:ascii="Arial" w:cs="Arial" w:eastAsia="Arial" w:hAnsi="Arial"/>
          <w:b w:val="false"/>
          <w:bCs w:val="false"/>
          <w:i w:val="false"/>
          <w:iCs w:val="false"/>
          <w:color w:val="404040"/>
          <w:sz w:val="22"/>
          <w:szCs w:val="22"/>
        </w:rPr>
        <w:t xml:space="preserve"/>
      </w:r>
    </w:p>
    <w:tbl>
      <w:tblPr>
        <w:tblW w:type="dxa" w:w="9360"/>
        <w:tblBorders>
          <w:top w:val="single" w:color="9DC3E6" w:sz="2"/>
          <w:left w:val="single" w:color="9DC3E6" w:sz="2"/>
          <w:bottom w:val="single" w:color="9DC3E6" w:sz="2"/>
          <w:right w:val="single" w:color="9DC3E6" w:sz="2"/>
          <w:insideH w:val="none"/>
          <w:insideV w:val="none"/>
        </w:tblBorders>
      </w:tblPr>
      <w:tblGrid>
        <w:gridCol w:w="700"/>
        <w:gridCol w:w="8660"/>
      </w:tblGrid>
      <w:tr>
        <w:trPr>
          <w:cantSplit/>
        </w:trPr>
        <w:tc>
          <w:tcPr>
            <w:tcW w:type="dxa" w:w="700"/>
            <w:shd w:fill="0D2F55" w:val="clear"/>
            <w:tcMar>
              <w:top w:type="dxa" w:w="60"/>
              <w:left w:type="dxa" w:w="40"/>
              <w:bottom w:type="dxa" w:w="60"/>
              <w:right w:type="dxa" w:w="40"/>
            </w:tcMar>
            <w:vAlign w:val="center"/>
          </w:tcPr>
          <w:p>
            <w:pPr>
              <w:jc w:val="center"/>
            </w:pPr>
            <w:r>
              <w:rPr>
                <w:rFonts w:ascii="Arial" w:cs="Arial" w:eastAsia="Arial" w:hAnsi="Arial"/>
                <w:b/>
                <w:bCs/>
                <w:i w:val="false"/>
                <w:iCs w:val="false"/>
                <w:color w:val="FFFFFF"/>
                <w:sz w:val="26"/>
                <w:szCs w:val="26"/>
              </w:rPr>
              <w:t xml:space="preserve">5</w:t>
            </w:r>
          </w:p>
        </w:tc>
        <w:tc>
          <w:tcPr>
            <w:tcW w:type="dxa" w:w="8660"/>
            <w:tcMar>
              <w:top w:type="dxa" w:w="70"/>
              <w:left w:type="dxa" w:w="140"/>
              <w:bottom w:type="dxa" w:w="70"/>
              <w:right w:type="dxa" w:w="120"/>
            </w:tcMar>
          </w:tcPr>
          <w:p>
            <w:pPr>
              <w:spacing w:after="50"/>
              <w:jc w:val="both"/>
            </w:pPr>
            <w:r>
              <w:rPr>
                <w:rFonts w:ascii="Arial" w:cs="Arial" w:eastAsia="Arial" w:hAnsi="Arial"/>
                <w:b w:val="false"/>
                <w:bCs w:val="false"/>
                <w:i w:val="false"/>
                <w:iCs w:val="false"/>
                <w:color w:val="404040"/>
                <w:sz w:val="18"/>
                <w:szCs w:val="18"/>
              </w:rPr>
              <w:t xml:space="preserve">Estudio boutique de fitness o bienestar. Solo 2 centros de fitness existen en toda la isócrona, frente a una base de 144,674 residentes y 25,684 residentes en ocupaciones profesionales y gerenciales (38.2%) con ingreso disponible. Es una de las densidades más bajas de todo el panorama POI en relación con el tamaño de la población.</w:t>
            </w:r>
          </w:p>
          <w:p>
            <w:r>
              <w:rPr>
                <w:rFonts w:ascii="Arial" w:cs="Arial" w:eastAsia="Arial" w:hAnsi="Arial"/>
                <w:b w:val="false"/>
                <w:bCs w:val="false"/>
                <w:i/>
                <w:iCs/>
                <w:color w:val="1B4F8A"/>
                <w:sz w:val="17"/>
                <w:szCs w:val="17"/>
              </w:rPr>
              <w:t xml:space="preserve">Nivel de ingreso: Medio-alto a alto   |   Edad: 25-54, profesionales   |   Género: Mixto   |   Competencia: BAJA — solo 2 centros de fitness en toda la zona   |   Horario pico: Lunes-Viernes, 5:30-8:00 a.m. y 5:30-8:00 p.m.</w:t>
            </w:r>
          </w:p>
        </w:tc>
      </w:tr>
    </w:tbl>
    <w:p>
      <w:pPr>
        <w:spacing w:after="50"/>
      </w:pPr>
      <w:r>
        <w:rPr>
          <w:rFonts w:ascii="Arial" w:cs="Arial" w:eastAsia="Arial" w:hAnsi="Arial"/>
          <w:b w:val="false"/>
          <w:bCs w:val="false"/>
          <w:i w:val="false"/>
          <w:iCs w:val="false"/>
          <w:color w:val="404040"/>
          <w:sz w:val="22"/>
          <w:szCs w:val="22"/>
        </w:rPr>
        <w:t xml:space="preserve"/>
      </w:r>
    </w:p>
    <w:tbl>
      <w:tblPr>
        <w:tblW w:type="dxa" w:w="9360"/>
        <w:tblBorders>
          <w:top w:val="single" w:color="9DC3E6" w:sz="2"/>
          <w:left w:val="single" w:color="9DC3E6" w:sz="2"/>
          <w:bottom w:val="single" w:color="9DC3E6" w:sz="2"/>
          <w:right w:val="single" w:color="9DC3E6" w:sz="2"/>
          <w:insideH w:val="none"/>
          <w:insideV w:val="none"/>
        </w:tblBorders>
      </w:tblPr>
      <w:tblGrid>
        <w:gridCol w:w="700"/>
        <w:gridCol w:w="8660"/>
      </w:tblGrid>
      <w:tr>
        <w:trPr>
          <w:cantSplit/>
        </w:trPr>
        <w:tc>
          <w:tcPr>
            <w:tcW w:type="dxa" w:w="700"/>
            <w:shd w:fill="0D2F55" w:val="clear"/>
            <w:tcMar>
              <w:top w:type="dxa" w:w="60"/>
              <w:left w:type="dxa" w:w="40"/>
              <w:bottom w:type="dxa" w:w="60"/>
              <w:right w:type="dxa" w:w="40"/>
            </w:tcMar>
            <w:vAlign w:val="center"/>
          </w:tcPr>
          <w:p>
            <w:pPr>
              <w:jc w:val="center"/>
            </w:pPr>
            <w:r>
              <w:rPr>
                <w:rFonts w:ascii="Arial" w:cs="Arial" w:eastAsia="Arial" w:hAnsi="Arial"/>
                <w:b/>
                <w:bCs/>
                <w:i w:val="false"/>
                <w:iCs w:val="false"/>
                <w:color w:val="FFFFFF"/>
                <w:sz w:val="26"/>
                <w:szCs w:val="26"/>
              </w:rPr>
              <w:t xml:space="preserve">6</w:t>
            </w:r>
          </w:p>
        </w:tc>
        <w:tc>
          <w:tcPr>
            <w:tcW w:type="dxa" w:w="8660"/>
            <w:tcMar>
              <w:top w:type="dxa" w:w="70"/>
              <w:left w:type="dxa" w:w="140"/>
              <w:bottom w:type="dxa" w:w="70"/>
              <w:right w:type="dxa" w:w="120"/>
            </w:tcMar>
          </w:tcPr>
          <w:p>
            <w:pPr>
              <w:spacing w:after="50"/>
              <w:jc w:val="both"/>
            </w:pPr>
            <w:r>
              <w:rPr>
                <w:rFonts w:ascii="Arial" w:cs="Arial" w:eastAsia="Arial" w:hAnsi="Arial"/>
                <w:b w:val="false"/>
                <w:bCs w:val="false"/>
                <w:i w:val="false"/>
                <w:iCs w:val="false"/>
                <w:color w:val="404040"/>
                <w:sz w:val="18"/>
                <w:szCs w:val="18"/>
              </w:rPr>
              <w:t xml:space="preserve">Salón de belleza o barbería de marca formal. El giro Beauty Salons tiene 19 locales pero el 84.2% opera sin marca formal (16 de 19); Hairdressers muestra el mismo patrón (16 de 17 sin marca, 94.1%). Frente a una base familiar consolidada (58,142 residentes casados, 49.0%) con ingreso medio-alto, hay espacio para un operador formal y consistente en un mercado hoy dominado por independientes sin marca.</w:t>
            </w:r>
          </w:p>
          <w:p>
            <w:r>
              <w:rPr>
                <w:rFonts w:ascii="Arial" w:cs="Arial" w:eastAsia="Arial" w:hAnsi="Arial"/>
                <w:b w:val="false"/>
                <w:bCs w:val="false"/>
                <w:i/>
                <w:iCs/>
                <w:color w:val="1B4F8A"/>
                <w:sz w:val="17"/>
                <w:szCs w:val="17"/>
              </w:rPr>
              <w:t xml:space="preserve">Nivel de ingreso: Medio a medio-alto   |   Edad: 25-59   |   Género: Mixto   |   Competencia: MEDIA — mercado fragmentado entre independientes, sin operador formal dominante   |   Horario pico: Martes-Sábado, 9:00 a.m.-7:00 p.m.</w:t>
            </w:r>
          </w:p>
        </w:tc>
      </w:tr>
    </w:tbl>
    <w:p>
      <w:pPr>
        <w:spacing w:after="50"/>
      </w:pPr>
      <w:r>
        <w:rPr>
          <w:rFonts w:ascii="Arial" w:cs="Arial" w:eastAsia="Arial" w:hAnsi="Arial"/>
          <w:b w:val="false"/>
          <w:bCs w:val="false"/>
          <w:i w:val="false"/>
          <w:iCs w:val="false"/>
          <w:color w:val="404040"/>
          <w:sz w:val="22"/>
          <w:szCs w:val="22"/>
        </w:rPr>
        <w:t xml:space="preserve"/>
      </w:r>
    </w:p>
    <w:p>
      <w:pPr>
        <w:keepNext/>
        <w:keepLines/>
        <w:spacing w:after="100" w:before="200"/>
      </w:pPr>
      <w:r>
        <w:rPr>
          <w:rFonts w:ascii="Arial" w:cs="Arial" w:eastAsia="Arial" w:hAnsi="Arial"/>
          <w:b/>
          <w:bCs/>
          <w:i w:val="false"/>
          <w:iCs w:val="false"/>
          <w:color w:val="2E75B6"/>
          <w:sz w:val="26"/>
          <w:szCs w:val="26"/>
        </w:rPr>
        <w:t xml:space="preserve">Días y horarios de mayor consumo</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2760"/>
        <w:gridCol w:w="2200"/>
        <w:gridCol w:w="2200"/>
        <w:gridCol w:w="2200"/>
      </w:tblGrid>
      <w:tr>
        <w:trPr>
          <w:cantSplit/>
          <w:tblHeader/>
        </w:trPr>
        <w:tc>
          <w:tcPr>
            <w:tcW w:type="dxa" w:w="27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Tipo de negocio</w:t>
            </w:r>
          </w:p>
        </w:tc>
        <w:tc>
          <w:tcPr>
            <w:tcW w:type="dxa" w:w="22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Días pico</w:t>
            </w:r>
          </w:p>
        </w:tc>
        <w:tc>
          <w:tcPr>
            <w:tcW w:type="dxa" w:w="22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Horario pico</w:t>
            </w:r>
          </w:p>
        </w:tc>
        <w:tc>
          <w:tcPr>
            <w:tcW w:type="dxa" w:w="22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Tipo de consumidor</w:t>
            </w:r>
          </w:p>
        </w:tc>
      </w:tr>
      <w:tr>
        <w:trPr>
          <w:cantSplit/>
        </w:trPr>
        <w:tc>
          <w:tcPr>
            <w:tcW w:type="dxa" w:w="27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Café / desayuno rápido</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Lunes-Domingo</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5:00-8:00 a.m.</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Residentes que salen muy temprano a trabajar</w:t>
            </w:r>
          </w:p>
        </w:tc>
      </w:tr>
      <w:tr>
        <w:trPr>
          <w:cantSplit/>
        </w:trPr>
        <w:tc>
          <w:tcPr>
            <w:tcW w:type="dxa" w:w="27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Comida familiar</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Jueves-Domingo</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1:00-4:00 p.m.</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Familias residentes</w:t>
            </w:r>
          </w:p>
        </w:tc>
      </w:tr>
      <w:tr>
        <w:trPr>
          <w:cantSplit/>
        </w:trPr>
        <w:tc>
          <w:tcPr>
            <w:tcW w:type="dxa" w:w="27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Cena familiar</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Todos los días</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6:00-9:00 p.m.</w:t>
            </w:r>
          </w:p>
        </w:tc>
        <w:tc>
          <w:tcPr>
            <w:tcW w:type="dxa" w:w="22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Familias y profesionales que regresan a casa</w:t>
            </w:r>
          </w:p>
        </w:tc>
      </w:tr>
      <w:tr>
        <w:trPr>
          <w:cantSplit/>
        </w:trPr>
        <w:tc>
          <w:tcPr>
            <w:tcW w:type="dxa" w:w="27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Abarrotes / mandado semanal</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Todos los días</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Todo el día, pico de fin de semana</w:t>
            </w:r>
          </w:p>
        </w:tc>
        <w:tc>
          <w:tcPr>
            <w:tcW w:type="dxa" w:w="22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Hogares residentes en general</w:t>
            </w:r>
          </w:p>
        </w:tc>
      </w:tr>
    </w:tbl>
    <w:p>
      <w:pPr>
        <w:spacing w:after="60" w:before="0"/>
        <w:jc w:val="left"/>
      </w:pPr>
      <w:r>
        <w:rPr>
          <w:rFonts w:ascii="Arial" w:cs="Arial" w:eastAsia="Arial" w:hAnsi="Arial"/>
          <w:b w:val="false"/>
          <w:bCs w:val="false"/>
          <w:i/>
          <w:iCs/>
          <w:color w:val="555555"/>
          <w:sz w:val="16"/>
          <w:szCs w:val="16"/>
        </w:rPr>
        <w:t xml:space="preserve">Son inferencias a partir de ocupaciones, hora de salida y tipo de consumo; no son tráfico medido.</w:t>
      </w:r>
    </w:p>
    <w:p>
      <w:pPr>
        <w:spacing w:after="60"/>
      </w:pPr>
      <w:r>
        <w:rPr>
          <w:rFonts w:ascii="Arial" w:cs="Arial" w:eastAsia="Arial" w:hAnsi="Arial"/>
          <w:b w:val="false"/>
          <w:bCs w:val="false"/>
          <w:i w:val="false"/>
          <w:iCs w:val="false"/>
          <w:color w:val="404040"/>
          <w:sz w:val="22"/>
          <w:szCs w:val="22"/>
        </w:rPr>
        <w:t xml:space="preserve"/>
      </w:r>
    </w:p>
    <w:tbl>
      <w:tblPr>
        <w:tblW w:type="dxa" w:w="9360"/>
        <w:tblBorders>
          <w:top w:val="single" w:color="FCE4D6" w:sz="6"/>
          <w:left w:val="single" w:color="FCE4D6" w:sz="6"/>
          <w:bottom w:val="single" w:color="FCE4D6" w:sz="6"/>
          <w:right w:val="single" w:color="FCE4D6" w:sz="6"/>
          <w:insideH w:val="none"/>
          <w:insideV w:val="none"/>
        </w:tblBorders>
      </w:tblPr>
      <w:tblGrid>
        <w:gridCol w:w="9360"/>
      </w:tblGrid>
      <w:tr>
        <w:trPr>
          <w:cantSplit/>
        </w:trPr>
        <w:tc>
          <w:tcPr>
            <w:tcW w:type="dxa" w:w="9360"/>
            <w:shd w:fill="FCE4D6" w:val="clear"/>
            <w:tcMar>
              <w:top w:type="dxa" w:w="100"/>
              <w:left w:type="dxa" w:w="140"/>
              <w:bottom w:type="dxa" w:w="100"/>
              <w:right w:type="dxa" w:w="140"/>
            </w:tcMar>
          </w:tcPr>
          <w:p>
            <w:pPr>
              <w:spacing w:after="60"/>
            </w:pPr>
            <w:r>
              <w:rPr>
                <w:rFonts w:ascii="Arial" w:cs="Arial" w:eastAsia="Arial" w:hAnsi="Arial"/>
                <w:b/>
                <w:bCs/>
                <w:i w:val="false"/>
                <w:iCs w:val="false"/>
                <w:color w:val="A00000"/>
                <w:sz w:val="19"/>
                <w:szCs w:val="19"/>
              </w:rPr>
              <w:t xml:space="preserve">SE DESACONSEJAN sin una diferenciación muy clara o una ubicación privilegiada:</w:t>
            </w:r>
          </w:p>
          <w:p>
            <w:pPr>
              <w:spacing w:after="30"/>
            </w:pPr>
            <w:r>
              <w:rPr>
                <w:rFonts w:ascii="Arial" w:cs="Arial" w:eastAsia="Arial" w:hAnsi="Arial"/>
                <w:b w:val="false"/>
                <w:bCs w:val="false"/>
                <w:i w:val="false"/>
                <w:iCs w:val="false"/>
                <w:color w:val="A00000"/>
                <w:sz w:val="18"/>
                <w:szCs w:val="18"/>
              </w:rPr>
              <w:t xml:space="preserve">•  Comida rápida tipo hamburguesa — el giro Burger está saturado al 100% por marcas de cadena, liderado por McDonald's (5 de 13 locales, 38.5%).</w:t>
            </w:r>
          </w:p>
          <w:p>
            <w:pPr>
              <w:spacing w:after="30"/>
            </w:pPr>
            <w:r>
              <w:rPr>
                <w:rFonts w:ascii="Arial" w:cs="Arial" w:eastAsia="Arial" w:hAnsi="Arial"/>
                <w:b w:val="false"/>
                <w:bCs w:val="false"/>
                <w:i w:val="false"/>
                <w:iCs w:val="false"/>
                <w:color w:val="A00000"/>
                <w:sz w:val="18"/>
                <w:szCs w:val="18"/>
              </w:rPr>
              <w:t xml:space="preserve">•  Pizza de cadena — el giro Pizza también está saturado al 100% por marcas de cadena, liderado por Pizza Hut (5 de 13 locales, 38.5%).</w:t>
            </w:r>
          </w:p>
          <w:p>
            <w:pPr>
              <w:spacing w:after="30"/>
            </w:pPr>
            <w:r>
              <w:rPr>
                <w:rFonts w:ascii="Arial" w:cs="Arial" w:eastAsia="Arial" w:hAnsi="Arial"/>
                <w:b w:val="false"/>
                <w:bCs w:val="false"/>
                <w:i w:val="false"/>
                <w:iCs w:val="false"/>
                <w:color w:val="A00000"/>
                <w:sz w:val="18"/>
                <w:szCs w:val="18"/>
              </w:rPr>
              <w:t xml:space="preserve">•  Sándwich / bakery-deli genérico — el giro Bakery / Deli / Café está dominado por Subway (13 de 21 locales, 61.9%), por encima del umbral de mercado copado.</w:t>
            </w:r>
          </w:p>
        </w:tc>
      </w:tr>
    </w:tbl>
    <w:p>
      <w:pPr>
        <w:keepNext/>
        <w:keepLines/>
        <w:spacing w:after="100" w:before="200"/>
      </w:pPr>
      <w:r>
        <w:rPr>
          <w:rFonts w:ascii="Arial" w:cs="Arial" w:eastAsia="Arial" w:hAnsi="Arial"/>
          <w:b/>
          <w:bCs/>
          <w:i w:val="false"/>
          <w:iCs w:val="false"/>
          <w:color w:val="2E75B6"/>
          <w:sz w:val="26"/>
          <w:szCs w:val="26"/>
        </w:rPr>
        <w:t xml:space="preserve">Factores clave de éxito en esta zona</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Dependencia casi total del automóvil (57,329 residentes, 84.5%) — visibilidad en avenida principal y estacionamiento son condición de entrada.</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Perfil familiar consolidado (58,142 residentes casados, 49.0%) — formatos y porciones pensados para familias, no solo para clientes individuales.</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Cola de ingreso alto sólida (7,341 hogares, 16.2% sobre $200,000) — margen real para precios medios y medio-altos sin abandonar el volumen del segmento medio.</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Penetración digital casi universal (42,774 hogares con internet, 94.5%) — pedidos en línea, entrega a domicilio y lealtad digital son elementos base, no diferenciadores.</w:t>
      </w:r>
    </w:p>
    <w:p>
      <w:pPr>
        <w:pBdr>
          <w:left w:val="single" w:color="2E75B6" w:sz="12" w:space="8"/>
        </w:pBdr>
        <w:spacing w:after="120" w:before="160"/>
        <w:ind w:left="120"/>
      </w:pPr>
      <w:r>
        <w:rPr>
          <w:rFonts w:ascii="Arial" w:cs="Arial" w:eastAsia="Arial" w:hAnsi="Arial"/>
          <w:b w:val="false"/>
          <w:bCs w:val="false"/>
          <w:i/>
          <w:iCs/>
          <w:color w:val="2E75B6"/>
          <w:sz w:val="20"/>
          <w:szCs w:val="20"/>
        </w:rPr>
        <w:t xml:space="preserve">Con las recomendaciones claras, es esencial entender cómo se clasifica esta zona y los riesgos comerciales que hay que sopesar antes de invertir.</w:t>
      </w:r>
    </w:p>
    <w:p>
      <w:r>
        <w:br w:type="page"/>
      </w:r>
    </w:p>
    <w:p>
      <w:pPr>
        <w:keepNext/>
        <w:keepLines/>
        <w:pBdr>
          <w:bottom w:val="single" w:color="2E75B6" w:sz="12" w:space="4"/>
        </w:pBdr>
        <w:spacing w:after="80" w:before="240"/>
      </w:pPr>
      <w:r>
        <w:rPr>
          <w:rFonts w:ascii="Arial" w:cs="Arial" w:eastAsia="Arial" w:hAnsi="Arial"/>
          <w:b/>
          <w:bCs/>
          <w:i w:val="false"/>
          <w:iCs w:val="false"/>
          <w:color w:val="1B4F8A"/>
          <w:sz w:val="32"/>
          <w:szCs w:val="32"/>
        </w:rPr>
        <w:t xml:space="preserve">07  ·  CLASIFICACIÓN DE LA ZONA Y RIESGOS</w:t>
      </w:r>
    </w:p>
    <w:p>
      <w:pPr>
        <w:keepNext/>
        <w:keepLines/>
        <w:spacing w:after="160"/>
      </w:pPr>
      <w:r>
        <w:rPr>
          <w:rFonts w:ascii="Arial" w:cs="Arial" w:eastAsia="Arial" w:hAnsi="Arial"/>
          <w:b w:val="false"/>
          <w:bCs w:val="false"/>
          <w:i/>
          <w:iCs/>
          <w:color w:val="555555"/>
          <w:sz w:val="21"/>
          <w:szCs w:val="21"/>
        </w:rPr>
        <w:t xml:space="preserve">¿Cómo se clasifica esta zona y qué riesgos comerciales debes conocer antes de invertir?</w:t>
      </w:r>
    </w:p>
    <w:p>
      <w:pPr>
        <w:keepNext/>
        <w:keepLines/>
        <w:spacing w:after="100" w:before="200"/>
      </w:pPr>
      <w:r>
        <w:rPr>
          <w:rFonts w:ascii="Arial" w:cs="Arial" w:eastAsia="Arial" w:hAnsi="Arial"/>
          <w:b/>
          <w:bCs/>
          <w:i w:val="false"/>
          <w:iCs w:val="false"/>
          <w:color w:val="2E75B6"/>
          <w:sz w:val="26"/>
          <w:szCs w:val="26"/>
        </w:rPr>
        <w:t xml:space="preserve">Clasificación del área</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3200"/>
        <w:gridCol w:w="6160"/>
      </w:tblGrid>
      <w:tr>
        <w:trPr>
          <w:cantSplit/>
        </w:trPr>
        <w:tc>
          <w:tcPr>
            <w:tcW w:type="dxa" w:w="3200"/>
            <w:shd w:fill="DEE8F2" w:val="clear"/>
            <w:tcMar>
              <w:top w:type="dxa" w:w="60"/>
              <w:left w:type="dxa" w:w="120"/>
              <w:bottom w:type="dxa" w:w="60"/>
              <w:right w:type="dxa" w:w="100"/>
            </w:tcMar>
          </w:tcPr>
          <w:p>
            <w:r>
              <w:rPr>
                <w:rFonts w:ascii="Arial" w:cs="Arial" w:eastAsia="Arial" w:hAnsi="Arial"/>
                <w:b/>
                <w:bCs/>
                <w:i w:val="false"/>
                <w:iCs w:val="false"/>
                <w:color w:val="1B4F8A"/>
                <w:sz w:val="19"/>
                <w:szCs w:val="19"/>
              </w:rPr>
              <w:t xml:space="preserve">Tipo de zona</w:t>
            </w:r>
          </w:p>
        </w:tc>
        <w:tc>
          <w:tcPr>
            <w:tcW w:type="dxa" w:w="6160"/>
            <w:tcMar>
              <w:top w:type="dxa" w:w="60"/>
              <w:left w:type="dxa" w:w="120"/>
              <w:bottom w:type="dxa" w:w="60"/>
              <w:right w:type="dxa" w:w="120"/>
            </w:tcMar>
          </w:tcPr>
          <w:p>
            <w:pPr>
              <w:jc w:val="both"/>
            </w:pPr>
            <w:r>
              <w:rPr>
                <w:rFonts w:ascii="Arial" w:cs="Arial" w:eastAsia="Arial" w:hAnsi="Arial"/>
                <w:b w:val="false"/>
                <w:bCs w:val="false"/>
                <w:i w:val="false"/>
                <w:iCs w:val="false"/>
                <w:color w:val="404040"/>
                <w:sz w:val="19"/>
                <w:szCs w:val="19"/>
              </w:rPr>
              <w:t xml:space="preserve">MIXTA — núcleo residencial familiar denso con una capa comercial de restaurantes y bares</w:t>
            </w:r>
          </w:p>
        </w:tc>
      </w:tr>
      <w:tr>
        <w:trPr>
          <w:cantSplit/>
        </w:trPr>
        <w:tc>
          <w:tcPr>
            <w:tcW w:type="dxa" w:w="3200"/>
            <w:shd w:fill="DEE8F2" w:val="clear"/>
            <w:tcMar>
              <w:top w:type="dxa" w:w="60"/>
              <w:left w:type="dxa" w:w="120"/>
              <w:bottom w:type="dxa" w:w="60"/>
              <w:right w:type="dxa" w:w="100"/>
            </w:tcMar>
          </w:tcPr>
          <w:p>
            <w:r>
              <w:rPr>
                <w:rFonts w:ascii="Arial" w:cs="Arial" w:eastAsia="Arial" w:hAnsi="Arial"/>
                <w:b/>
                <w:bCs/>
                <w:i w:val="false"/>
                <w:iCs w:val="false"/>
                <w:color w:val="1B4F8A"/>
                <w:sz w:val="19"/>
                <w:szCs w:val="19"/>
              </w:rPr>
              <w:t xml:space="preserve">Capacidad de consumo</w:t>
            </w:r>
          </w:p>
        </w:tc>
        <w:tc>
          <w:tcPr>
            <w:tcW w:type="dxa" w:w="6160"/>
            <w:tcMar>
              <w:top w:type="dxa" w:w="60"/>
              <w:left w:type="dxa" w:w="120"/>
              <w:bottom w:type="dxa" w:w="60"/>
              <w:right w:type="dxa" w:w="120"/>
            </w:tcMar>
          </w:tcPr>
          <w:p>
            <w:pPr>
              <w:jc w:val="both"/>
            </w:pPr>
            <w:r>
              <w:rPr>
                <w:rFonts w:ascii="Arial" w:cs="Arial" w:eastAsia="Arial" w:hAnsi="Arial"/>
                <w:b w:val="false"/>
                <w:bCs w:val="false"/>
                <w:i w:val="false"/>
                <w:iCs w:val="false"/>
                <w:color w:val="404040"/>
                <w:sz w:val="19"/>
                <w:szCs w:val="19"/>
              </w:rPr>
              <w:t xml:space="preserve">ALTA — mediana de $109,106, bracket dominante $100,000-$149,999 (23.4%) con una cola del 16.2% sobre $200,000</w:t>
            </w:r>
          </w:p>
        </w:tc>
      </w:tr>
      <w:tr>
        <w:trPr>
          <w:cantSplit/>
        </w:trPr>
        <w:tc>
          <w:tcPr>
            <w:tcW w:type="dxa" w:w="3200"/>
            <w:shd w:fill="DEE8F2" w:val="clear"/>
            <w:tcMar>
              <w:top w:type="dxa" w:w="60"/>
              <w:left w:type="dxa" w:w="120"/>
              <w:bottom w:type="dxa" w:w="60"/>
              <w:right w:type="dxa" w:w="100"/>
            </w:tcMar>
          </w:tcPr>
          <w:p>
            <w:r>
              <w:rPr>
                <w:rFonts w:ascii="Arial" w:cs="Arial" w:eastAsia="Arial" w:hAnsi="Arial"/>
                <w:b/>
                <w:bCs/>
                <w:i w:val="false"/>
                <w:iCs w:val="false"/>
                <w:color w:val="1B4F8A"/>
                <w:sz w:val="19"/>
                <w:szCs w:val="19"/>
              </w:rPr>
              <w:t xml:space="preserve">Perfil del residente</w:t>
            </w:r>
          </w:p>
        </w:tc>
        <w:tc>
          <w:tcPr>
            <w:tcW w:type="dxa" w:w="6160"/>
            <w:tcMar>
              <w:top w:type="dxa" w:w="60"/>
              <w:left w:type="dxa" w:w="120"/>
              <w:bottom w:type="dxa" w:w="60"/>
              <w:right w:type="dxa" w:w="120"/>
            </w:tcMar>
          </w:tcPr>
          <w:p>
            <w:pPr>
              <w:jc w:val="both"/>
            </w:pPr>
            <w:r>
              <w:rPr>
                <w:rFonts w:ascii="Arial" w:cs="Arial" w:eastAsia="Arial" w:hAnsi="Arial"/>
                <w:b w:val="false"/>
                <w:bCs w:val="false"/>
                <w:i w:val="false"/>
                <w:iCs w:val="false"/>
                <w:color w:val="404040"/>
                <w:sz w:val="19"/>
                <w:szCs w:val="19"/>
              </w:rPr>
              <w:t xml:space="preserve">Familias hispanas o latinas mayoritarias (48.7%), casadas (49.0%), dependientes del automóvil, con salida laboral concentrada antes de las 8:00 a.m.</w:t>
            </w:r>
          </w:p>
        </w:tc>
      </w:tr>
      <w:tr>
        <w:trPr>
          <w:cantSplit/>
        </w:trPr>
        <w:tc>
          <w:tcPr>
            <w:tcW w:type="dxa" w:w="3200"/>
            <w:shd w:fill="DEE8F2" w:val="clear"/>
            <w:tcMar>
              <w:top w:type="dxa" w:w="60"/>
              <w:left w:type="dxa" w:w="120"/>
              <w:bottom w:type="dxa" w:w="60"/>
              <w:right w:type="dxa" w:w="100"/>
            </w:tcMar>
          </w:tcPr>
          <w:p>
            <w:r>
              <w:rPr>
                <w:rFonts w:ascii="Arial" w:cs="Arial" w:eastAsia="Arial" w:hAnsi="Arial"/>
                <w:b/>
                <w:bCs/>
                <w:i w:val="false"/>
                <w:iCs w:val="false"/>
                <w:color w:val="1B4F8A"/>
                <w:sz w:val="19"/>
                <w:szCs w:val="19"/>
              </w:rPr>
              <w:t xml:space="preserve">Madurez comercial</w:t>
            </w:r>
          </w:p>
        </w:tc>
        <w:tc>
          <w:tcPr>
            <w:tcW w:type="dxa" w:w="6160"/>
            <w:tcMar>
              <w:top w:type="dxa" w:w="60"/>
              <w:left w:type="dxa" w:w="120"/>
              <w:bottom w:type="dxa" w:w="60"/>
              <w:right w:type="dxa" w:w="120"/>
            </w:tcMar>
          </w:tcPr>
          <w:p>
            <w:pPr>
              <w:jc w:val="both"/>
            </w:pPr>
            <w:r>
              <w:rPr>
                <w:rFonts w:ascii="Arial" w:cs="Arial" w:eastAsia="Arial" w:hAnsi="Arial"/>
                <w:b w:val="false"/>
                <w:bCs w:val="false"/>
                <w:i w:val="false"/>
                <w:iCs w:val="false"/>
                <w:color w:val="404040"/>
                <w:sz w:val="19"/>
                <w:szCs w:val="19"/>
              </w:rPr>
              <w:t xml:space="preserve">FRAGMENTADA — densa en restaurantes y bares independientes, con anclas nacionales solo en categorías puntuales (café, comida rápida) y vacíos claros en oferta étnico-culturalmente alineada</w:t>
            </w:r>
          </w:p>
        </w:tc>
      </w:tr>
    </w:tbl>
    <w:p>
      <w:pPr>
        <w:keepNext/>
        <w:keepLines/>
        <w:spacing w:after="100" w:before="200"/>
      </w:pPr>
      <w:r>
        <w:rPr>
          <w:rFonts w:ascii="Arial" w:cs="Arial" w:eastAsia="Arial" w:hAnsi="Arial"/>
          <w:b/>
          <w:bCs/>
          <w:i w:val="false"/>
          <w:iCs w:val="false"/>
          <w:color w:val="2E75B6"/>
          <w:sz w:val="26"/>
          <w:szCs w:val="26"/>
        </w:rPr>
        <w:t xml:space="preserve">Principales riesgos comerciales</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7560"/>
        <w:gridCol w:w="1800"/>
      </w:tblGrid>
      <w:tr>
        <w:trPr>
          <w:cantSplit/>
          <w:tblHeader/>
        </w:trPr>
        <w:tc>
          <w:tcPr>
            <w:tcW w:type="dxa" w:w="75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Riesgo comercial</w:t>
            </w:r>
          </w:p>
        </w:tc>
        <w:tc>
          <w:tcPr>
            <w:tcW w:type="dxa" w:w="18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Nivel</w:t>
            </w:r>
          </w:p>
        </w:tc>
      </w:tr>
      <w:tr>
        <w:trPr>
          <w:cantSplit/>
        </w:trPr>
        <w:tc>
          <w:tcPr>
            <w:tcW w:type="dxa" w:w="7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Competencia de destino cercana: Otay Ranch Town Center concentra buena parte de la oferta de comparación y especialidad</w:t>
            </w:r>
          </w:p>
        </w:tc>
        <w:tc>
          <w:tcPr>
            <w:tcW w:type="dxa" w:w="1800"/>
            <w:shd w:fill="FCE4D6" w:val="clear"/>
            <w:tcMar>
              <w:top w:type="dxa" w:w="50"/>
              <w:left w:type="dxa" w:w="100"/>
              <w:bottom w:type="dxa" w:w="50"/>
              <w:right w:type="dxa" w:w="100"/>
            </w:tcMar>
          </w:tcPr>
          <w:p>
            <w:r>
              <w:rPr>
                <w:rFonts w:ascii="Arial" w:cs="Arial" w:eastAsia="Arial" w:hAnsi="Arial"/>
                <w:b/>
                <w:bCs/>
                <w:i w:val="false"/>
                <w:iCs w:val="false"/>
                <w:color w:val="A00000"/>
                <w:sz w:val="18"/>
                <w:szCs w:val="18"/>
              </w:rPr>
              <w:t xml:space="preserve">High</w:t>
            </w:r>
          </w:p>
        </w:tc>
      </w:tr>
      <w:tr>
        <w:trPr>
          <w:cantSplit/>
        </w:trPr>
        <w:tc>
          <w:tcPr>
            <w:tcW w:type="dxa" w:w="7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Ausencia de un modelo de brechas cuantificadas: las oportunidades son hipótesis, no faltantes medidos</w:t>
            </w:r>
          </w:p>
        </w:tc>
        <w:tc>
          <w:tcPr>
            <w:tcW w:type="dxa" w:w="1800"/>
            <w:shd w:fill="FFF2CC" w:val="clear"/>
            <w:tcMar>
              <w:top w:type="dxa" w:w="50"/>
              <w:left w:type="dxa" w:w="100"/>
              <w:bottom w:type="dxa" w:w="50"/>
              <w:right w:type="dxa" w:w="100"/>
            </w:tcMar>
          </w:tcPr>
          <w:p>
            <w:r>
              <w:rPr>
                <w:rFonts w:ascii="Arial" w:cs="Arial" w:eastAsia="Arial" w:hAnsi="Arial"/>
                <w:b/>
                <w:bCs/>
                <w:i w:val="false"/>
                <w:iCs w:val="false"/>
                <w:color w:val="7D6808"/>
                <w:sz w:val="18"/>
                <w:szCs w:val="18"/>
              </w:rPr>
              <w:t xml:space="preserve">Medium</w:t>
            </w:r>
          </w:p>
        </w:tc>
      </w:tr>
      <w:tr>
        <w:trPr>
          <w:cantSplit/>
        </w:trPr>
        <w:tc>
          <w:tcPr>
            <w:tcW w:type="dxa" w:w="7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Concentración de marca dominante en giros específicos (Subway 61.9% en Bakery / Deli / Café, Panda Express 80.0% en Asian) eleva la barrera de entrada en esas categorías</w:t>
            </w:r>
          </w:p>
        </w:tc>
        <w:tc>
          <w:tcPr>
            <w:tcW w:type="dxa" w:w="1800"/>
            <w:shd w:fill="FFF2CC" w:val="clear"/>
            <w:tcMar>
              <w:top w:type="dxa" w:w="50"/>
              <w:left w:type="dxa" w:w="100"/>
              <w:bottom w:type="dxa" w:w="50"/>
              <w:right w:type="dxa" w:w="100"/>
            </w:tcMar>
          </w:tcPr>
          <w:p>
            <w:r>
              <w:rPr>
                <w:rFonts w:ascii="Arial" w:cs="Arial" w:eastAsia="Arial" w:hAnsi="Arial"/>
                <w:b/>
                <w:bCs/>
                <w:i w:val="false"/>
                <w:iCs w:val="false"/>
                <w:color w:val="7D6808"/>
                <w:sz w:val="18"/>
                <w:szCs w:val="18"/>
              </w:rPr>
              <w:t xml:space="preserve">Medium</w:t>
            </w:r>
          </w:p>
        </w:tc>
      </w:tr>
      <w:tr>
        <w:trPr>
          <w:cantSplit/>
        </w:trPr>
        <w:tc>
          <w:tcPr>
            <w:tcW w:type="dxa" w:w="7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El giro Bars, el más grande de la zona, es enteramente independiente y sin consolidar — mercado informal difícil de leer con precisión</w:t>
            </w:r>
          </w:p>
        </w:tc>
        <w:tc>
          <w:tcPr>
            <w:tcW w:type="dxa" w:w="1800"/>
            <w:shd w:fill="FFF2CC" w:val="clear"/>
            <w:tcMar>
              <w:top w:type="dxa" w:w="50"/>
              <w:left w:type="dxa" w:w="100"/>
              <w:bottom w:type="dxa" w:w="50"/>
              <w:right w:type="dxa" w:w="100"/>
            </w:tcMar>
          </w:tcPr>
          <w:p>
            <w:r>
              <w:rPr>
                <w:rFonts w:ascii="Arial" w:cs="Arial" w:eastAsia="Arial" w:hAnsi="Arial"/>
                <w:b/>
                <w:bCs/>
                <w:i w:val="false"/>
                <w:iCs w:val="false"/>
                <w:color w:val="7D6808"/>
                <w:sz w:val="18"/>
                <w:szCs w:val="18"/>
              </w:rPr>
              <w:t xml:space="preserve">Medium</w:t>
            </w:r>
          </w:p>
        </w:tc>
      </w:tr>
      <w:tr>
        <w:trPr>
          <w:cantSplit/>
        </w:trPr>
        <w:tc>
          <w:tcPr>
            <w:tcW w:type="dxa" w:w="7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La oscilación poblacional 2019-2024 (-32.1%) es un artefacto de estimación del ACS a nivel de block group; interpretarla como tendencia real distorsionaría cualquier proyección</w:t>
            </w:r>
          </w:p>
        </w:tc>
        <w:tc>
          <w:tcPr>
            <w:tcW w:type="dxa" w:w="1800"/>
            <w:shd w:fill="D9EAD3" w:val="clear"/>
            <w:tcMar>
              <w:top w:type="dxa" w:w="50"/>
              <w:left w:type="dxa" w:w="100"/>
              <w:bottom w:type="dxa" w:w="50"/>
              <w:right w:type="dxa" w:w="100"/>
            </w:tcMar>
          </w:tcPr>
          <w:p>
            <w:r>
              <w:rPr>
                <w:rFonts w:ascii="Arial" w:cs="Arial" w:eastAsia="Arial" w:hAnsi="Arial"/>
                <w:b/>
                <w:bCs/>
                <w:i w:val="false"/>
                <w:iCs w:val="false"/>
                <w:color w:val="276221"/>
                <w:sz w:val="18"/>
                <w:szCs w:val="18"/>
              </w:rPr>
              <w:t xml:space="preserve">Low</w:t>
            </w:r>
          </w:p>
        </w:tc>
      </w:tr>
    </w:tbl>
    <w:p>
      <w:pPr>
        <w:keepNext/>
        <w:keepLines/>
        <w:spacing w:after="100" w:before="200"/>
      </w:pPr>
      <w:r>
        <w:rPr>
          <w:rFonts w:ascii="Arial" w:cs="Arial" w:eastAsia="Arial" w:hAnsi="Arial"/>
          <w:b/>
          <w:bCs/>
          <w:i w:val="false"/>
          <w:iCs w:val="false"/>
          <w:color w:val="2E75B6"/>
          <w:sz w:val="26"/>
          <w:szCs w:val="26"/>
        </w:rPr>
        <w:t xml:space="preserve">Factores clave de éxito</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Diferenciación cultural y gastronómica genuina frente a las cadenas de formato rápido ya instaladas.</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Calibrar el horario a la salida matutina temprana (antes de las 7:00 a.m.) para capturar el pico de consumo real.</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Formato familiar y accesible en automóvil (estacionamiento, visibilidad en avenida) dado el perfil casado y dependiente del auto.</w:t>
      </w:r>
    </w:p>
    <w:p>
      <w:pPr>
        <w:pBdr>
          <w:left w:val="single" w:color="2E75B6" w:sz="12" w:space="8"/>
        </w:pBdr>
        <w:spacing w:after="120" w:before="160"/>
        <w:ind w:left="120"/>
      </w:pPr>
      <w:r>
        <w:rPr>
          <w:rFonts w:ascii="Arial" w:cs="Arial" w:eastAsia="Arial" w:hAnsi="Arial"/>
          <w:b w:val="false"/>
          <w:bCs w:val="false"/>
          <w:i/>
          <w:iCs/>
          <w:color w:val="2E75B6"/>
          <w:sz w:val="20"/>
          <w:szCs w:val="20"/>
        </w:rPr>
        <w:t xml:space="preserve">Los riesgos ya están sobre la mesa. Antes de cerrar, conviene revisar la dimensión social de esta zona — porque la educación y la cobertura de salud abren oportunidades que pocos inversionistas consideran.</w:t>
      </w:r>
    </w:p>
    <w:p>
      <w:r>
        <w:br w:type="page"/>
      </w:r>
    </w:p>
    <w:p>
      <w:pPr>
        <w:keepNext/>
        <w:keepLines/>
        <w:pBdr>
          <w:bottom w:val="single" w:color="2E75B6" w:sz="12" w:space="4"/>
        </w:pBdr>
        <w:spacing w:after="80" w:before="240"/>
      </w:pPr>
      <w:r>
        <w:rPr>
          <w:rFonts w:ascii="Arial" w:cs="Arial" w:eastAsia="Arial" w:hAnsi="Arial"/>
          <w:b/>
          <w:bCs/>
          <w:i w:val="false"/>
          <w:iCs w:val="false"/>
          <w:color w:val="1B4F8A"/>
          <w:sz w:val="32"/>
          <w:szCs w:val="32"/>
        </w:rPr>
        <w:t xml:space="preserve">08  ·  CONSIDERACIONES SOCIALES</w:t>
      </w:r>
    </w:p>
    <w:p>
      <w:pPr>
        <w:keepNext/>
        <w:keepLines/>
        <w:spacing w:after="160"/>
      </w:pPr>
      <w:r>
        <w:rPr>
          <w:rFonts w:ascii="Arial" w:cs="Arial" w:eastAsia="Arial" w:hAnsi="Arial"/>
          <w:b w:val="false"/>
          <w:bCs w:val="false"/>
          <w:i/>
          <w:iCs/>
          <w:color w:val="555555"/>
          <w:sz w:val="21"/>
          <w:szCs w:val="21"/>
        </w:rPr>
        <w:t xml:space="preserve">¿Qué datos sociales abren oportunidades de negocio con impacto positivo en la comunidad?</w:t>
      </w:r>
    </w:p>
    <w:p>
      <w:pPr>
        <w:spacing w:after="120" w:before="0"/>
        <w:jc w:val="left"/>
      </w:pPr>
      <w:r>
        <w:rPr>
          <w:rFonts w:ascii="Arial" w:cs="Arial" w:eastAsia="Arial" w:hAnsi="Arial"/>
          <w:b w:val="false"/>
          <w:bCs w:val="false"/>
          <w:i w:val="false"/>
          <w:iCs w:val="false"/>
          <w:color w:val="404040"/>
          <w:sz w:val="20"/>
          <w:szCs w:val="20"/>
        </w:rPr>
        <w:t xml:space="preserve">El análisis de mercado no puede ignorar el perfil social de la zona. Estos datos revelan tanto responsabilidades para los negocios que se instalen aquí, como oportunidades para modelos con impacto social positivo y retorno comercial comprobado.</w:t>
      </w:r>
    </w:p>
    <w:p>
      <w:pPr>
        <w:keepNext/>
        <w:keepLines/>
        <w:spacing w:after="100" w:before="200"/>
      </w:pPr>
      <w:r>
        <w:rPr>
          <w:rFonts w:ascii="Arial" w:cs="Arial" w:eastAsia="Arial" w:hAnsi="Arial"/>
          <w:b/>
          <w:bCs/>
          <w:i w:val="false"/>
          <w:iCs w:val="false"/>
          <w:color w:val="2E75B6"/>
          <w:sz w:val="26"/>
          <w:szCs w:val="26"/>
        </w:rPr>
        <w:t xml:space="preserve">Educación y capital humano</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4560"/>
        <w:gridCol w:w="2400"/>
        <w:gridCol w:w="2400"/>
      </w:tblGrid>
      <w:tr>
        <w:trPr>
          <w:cantSplit/>
          <w:tblHeader/>
        </w:trPr>
        <w:tc>
          <w:tcPr>
            <w:tcW w:type="dxa" w:w="45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Nivel educativo (25+)</w:t>
            </w:r>
          </w:p>
        </w:tc>
        <w:tc>
          <w:tcPr>
            <w:tcW w:type="dxa" w:w="24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Personas</w:t>
            </w:r>
          </w:p>
        </w:tc>
        <w:tc>
          <w:tcPr>
            <w:tcW w:type="dxa" w:w="24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 de 25+</w:t>
            </w:r>
          </w:p>
        </w:tc>
      </w:tr>
      <w:tr>
        <w:trPr>
          <w:cantSplit/>
        </w:trPr>
        <w:tc>
          <w:tcPr>
            <w:tcW w:type="dxa" w:w="4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Regular High School Diploma</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21,027</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20.9%</w:t>
            </w:r>
          </w:p>
        </w:tc>
      </w:tr>
      <w:tr>
        <w:trPr>
          <w:cantSplit/>
        </w:trPr>
        <w:tc>
          <w:tcPr>
            <w:tcW w:type="dxa" w:w="4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Associate Degree</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10,533</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10.4%</w:t>
            </w:r>
          </w:p>
        </w:tc>
      </w:tr>
      <w:tr>
        <w:trPr>
          <w:cantSplit/>
        </w:trPr>
        <w:tc>
          <w:tcPr>
            <w:tcW w:type="dxa" w:w="4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Bachelor Degree</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19,963</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19.8%</w:t>
            </w:r>
          </w:p>
        </w:tc>
      </w:tr>
      <w:tr>
        <w:trPr>
          <w:cantSplit/>
        </w:trPr>
        <w:tc>
          <w:tcPr>
            <w:tcW w:type="dxa" w:w="4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Master Degree</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7,299</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7.2%</w:t>
            </w:r>
          </w:p>
        </w:tc>
      </w:tr>
      <w:tr>
        <w:trPr>
          <w:cantSplit/>
        </w:trPr>
        <w:tc>
          <w:tcPr>
            <w:tcW w:type="dxa" w:w="4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Professional Degree</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1,669</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1.7%</w:t>
            </w:r>
          </w:p>
        </w:tc>
      </w:tr>
      <w:tr>
        <w:trPr>
          <w:cantSplit/>
        </w:trPr>
        <w:tc>
          <w:tcPr>
            <w:tcW w:type="dxa" w:w="4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Doctorate Degree</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666</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0.7%</w:t>
            </w:r>
          </w:p>
        </w:tc>
      </w:tr>
    </w:tbl>
    <w:p>
      <w:pPr>
        <w:keepNext/>
        <w:keepLines/>
        <w:spacing w:after="100" w:before="200"/>
      </w:pPr>
      <w:r>
        <w:rPr>
          <w:rFonts w:ascii="Arial" w:cs="Arial" w:eastAsia="Arial" w:hAnsi="Arial"/>
          <w:b/>
          <w:bCs/>
          <w:i w:val="false"/>
          <w:iCs w:val="false"/>
          <w:color w:val="2E75B6"/>
          <w:sz w:val="26"/>
          <w:szCs w:val="26"/>
        </w:rPr>
        <w:t xml:space="preserve">Cobertura y acceso a la salud</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4560"/>
        <w:gridCol w:w="2400"/>
        <w:gridCol w:w="2400"/>
      </w:tblGrid>
      <w:tr>
        <w:trPr>
          <w:cantSplit/>
          <w:tblHeader/>
        </w:trPr>
        <w:tc>
          <w:tcPr>
            <w:tcW w:type="dxa" w:w="45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Indicador de cobertura</w:t>
            </w:r>
          </w:p>
        </w:tc>
        <w:tc>
          <w:tcPr>
            <w:tcW w:type="dxa" w:w="24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Personas</w:t>
            </w:r>
          </w:p>
        </w:tc>
        <w:tc>
          <w:tcPr>
            <w:tcW w:type="dxa" w:w="24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 del total</w:t>
            </w:r>
          </w:p>
        </w:tc>
      </w:tr>
      <w:tr>
        <w:trPr>
          <w:cantSplit/>
        </w:trPr>
        <w:tc>
          <w:tcPr>
            <w:tcW w:type="dxa" w:w="4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Private health insurance Employer-based  only</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62,366</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43.9%</w:t>
            </w:r>
          </w:p>
        </w:tc>
      </w:tr>
      <w:tr>
        <w:trPr>
          <w:cantSplit/>
        </w:trPr>
        <w:tc>
          <w:tcPr>
            <w:tcW w:type="dxa" w:w="4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Public coverage Medicare coverage only</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8,078</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5.7%</w:t>
            </w:r>
          </w:p>
        </w:tc>
      </w:tr>
      <w:tr>
        <w:trPr>
          <w:cantSplit/>
        </w:trPr>
        <w:tc>
          <w:tcPr>
            <w:tcW w:type="dxa" w:w="4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Public coverage only</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41,525</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29.2%</w:t>
            </w:r>
          </w:p>
        </w:tc>
      </w:tr>
      <w:tr>
        <w:trPr>
          <w:cantSplit/>
        </w:trPr>
        <w:tc>
          <w:tcPr>
            <w:tcW w:type="dxa" w:w="4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Public coverage Medicaid/means-tested only</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24,268</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17.1%</w:t>
            </w:r>
          </w:p>
        </w:tc>
      </w:tr>
      <w:tr>
        <w:trPr>
          <w:cantSplit/>
        </w:trPr>
        <w:tc>
          <w:tcPr>
            <w:tcW w:type="dxa" w:w="4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Public coverage TRICARE/military health coverage only</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4,817</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3.4%</w:t>
            </w:r>
          </w:p>
        </w:tc>
      </w:tr>
      <w:tr>
        <w:trPr>
          <w:cantSplit/>
        </w:trPr>
        <w:tc>
          <w:tcPr>
            <w:tcW w:type="dxa" w:w="4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Public coverage Veterans Affairs health care only</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557</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0.4%</w:t>
            </w:r>
          </w:p>
        </w:tc>
      </w:tr>
      <w:tr>
        <w:trPr>
          <w:cantSplit/>
        </w:trPr>
        <w:tc>
          <w:tcPr>
            <w:tcW w:type="dxa" w:w="4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Population with no insurance</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8,108</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5.7%</w:t>
            </w:r>
          </w:p>
        </w:tc>
      </w:tr>
    </w:tbl>
    <w:p>
      <w:pPr>
        <w:keepNext/>
        <w:keepLines/>
        <w:spacing w:after="100" w:before="200"/>
      </w:pPr>
      <w:r>
        <w:rPr>
          <w:rFonts w:ascii="Arial" w:cs="Arial" w:eastAsia="Arial" w:hAnsi="Arial"/>
          <w:b/>
          <w:bCs/>
          <w:i w:val="false"/>
          <w:iCs w:val="false"/>
          <w:color w:val="2E75B6"/>
          <w:sz w:val="26"/>
          <w:szCs w:val="26"/>
        </w:rPr>
        <w:t xml:space="preserve">Composición de la comunidad</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4560"/>
        <w:gridCol w:w="2400"/>
        <w:gridCol w:w="2400"/>
      </w:tblGrid>
      <w:tr>
        <w:trPr>
          <w:cantSplit/>
          <w:tblHeader/>
        </w:trPr>
        <w:tc>
          <w:tcPr>
            <w:tcW w:type="dxa" w:w="45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Indicador</w:t>
            </w:r>
          </w:p>
        </w:tc>
        <w:tc>
          <w:tcPr>
            <w:tcW w:type="dxa" w:w="24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Personas</w:t>
            </w:r>
          </w:p>
        </w:tc>
        <w:tc>
          <w:tcPr>
            <w:tcW w:type="dxa" w:w="24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 del total</w:t>
            </w:r>
          </w:p>
        </w:tc>
      </w:tr>
      <w:tr>
        <w:trPr>
          <w:cantSplit/>
        </w:trPr>
        <w:tc>
          <w:tcPr>
            <w:tcW w:type="dxa" w:w="4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Hispanic or Latino population</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70,515</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48.7%</w:t>
            </w:r>
          </w:p>
        </w:tc>
      </w:tr>
      <w:tr>
        <w:trPr>
          <w:cantSplit/>
        </w:trPr>
        <w:tc>
          <w:tcPr>
            <w:tcW w:type="dxa" w:w="4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White population</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27,884</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19.3%</w:t>
            </w:r>
          </w:p>
        </w:tc>
      </w:tr>
      <w:tr>
        <w:trPr>
          <w:cantSplit/>
        </w:trPr>
        <w:tc>
          <w:tcPr>
            <w:tcW w:type="dxa" w:w="4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Asian population</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25,903</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17.9%</w:t>
            </w:r>
          </w:p>
        </w:tc>
      </w:tr>
      <w:tr>
        <w:trPr>
          <w:cantSplit/>
        </w:trPr>
        <w:tc>
          <w:tcPr>
            <w:tcW w:type="dxa" w:w="4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Married, except separated</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58,142</w:t>
            </w:r>
          </w:p>
        </w:tc>
        <w:tc>
          <w:tcPr>
            <w:tcW w:type="dxa" w:w="2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49.0%</w:t>
            </w:r>
          </w:p>
        </w:tc>
      </w:tr>
      <w:tr>
        <w:trPr>
          <w:cantSplit/>
        </w:trPr>
        <w:tc>
          <w:tcPr>
            <w:tcW w:type="dxa" w:w="4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Never married</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41,229</w:t>
            </w:r>
          </w:p>
        </w:tc>
        <w:tc>
          <w:tcPr>
            <w:tcW w:type="dxa" w:w="2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34.7%</w:t>
            </w:r>
          </w:p>
        </w:tc>
      </w:tr>
    </w:tbl>
    <w:p>
      <w:pPr>
        <w:keepNext/>
        <w:keepLines/>
        <w:spacing w:after="100" w:before="200"/>
      </w:pPr>
      <w:r>
        <w:rPr>
          <w:rFonts w:ascii="Arial" w:cs="Arial" w:eastAsia="Arial" w:hAnsi="Arial"/>
          <w:b/>
          <w:bCs/>
          <w:i w:val="false"/>
          <w:iCs w:val="false"/>
          <w:color w:val="2E75B6"/>
          <w:sz w:val="26"/>
          <w:szCs w:val="26"/>
        </w:rPr>
        <w:t xml:space="preserve">Insights sociales clave</w:t>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01</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SALUD ACCESIBLE COMO MERCADO</w:t>
            </w:r>
          </w:p>
          <w:p>
            <w:r>
              <w:rPr>
                <w:rFonts w:ascii="Arial" w:cs="Arial" w:eastAsia="Arial" w:hAnsi="Arial"/>
                <w:b w:val="false"/>
                <w:bCs w:val="false"/>
                <w:i/>
                <w:iCs/>
                <w:color w:val="404040"/>
                <w:sz w:val="18"/>
                <w:szCs w:val="18"/>
              </w:rPr>
              <w:t xml:space="preserve">Con solo 5.7% sin seguro (8,108 residentes) y 62,366 residentes (43.9%) bajo cobertura privada basada en empleador, esta es una población bien asegurada donde los servicios de salud privados compiten por conveniencia y calidad, no por precio.</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02</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EDUCACIÓN COMO MERCADO RECEPTIVO</w:t>
            </w:r>
          </w:p>
          <w:p>
            <w:r>
              <w:rPr>
                <w:rFonts w:ascii="Arial" w:cs="Arial" w:eastAsia="Arial" w:hAnsi="Arial"/>
                <w:b w:val="false"/>
                <w:bCs w:val="false"/>
                <w:i/>
                <w:iCs/>
                <w:color w:val="404040"/>
                <w:sz w:val="18"/>
                <w:szCs w:val="18"/>
              </w:rPr>
              <w:t xml:space="preserve">El grado asociado está sobrerrepresentado (10,533 residentes, 10.4%, Very high) y cerca de 29,600 residentes de 25 años o más cuentan con licenciatura o posgrado. Es una población con apertura real a formación continua y servicios con valor claramente demostrado.</w:t>
            </w:r>
          </w:p>
        </w:tc>
      </w:tr>
    </w:tbl>
    <w:p>
      <w:pPr>
        <w:spacing w:after="40"/>
      </w:pPr>
      <w:r>
        <w:rPr>
          <w:rFonts w:ascii="Arial" w:cs="Arial" w:eastAsia="Arial" w:hAnsi="Arial"/>
          <w:b w:val="false"/>
          <w:bCs w:val="false"/>
          <w:i w:val="false"/>
          <w:iCs w:val="false"/>
          <w:color w:val="404040"/>
          <w:sz w:val="22"/>
          <w:szCs w:val="22"/>
        </w:rPr>
        <w:t xml:space="preserve"/>
      </w:r>
    </w:p>
    <w:tbl>
      <w:tblPr>
        <w:tblW w:type="dxa" w:w="9360"/>
        <w:tblBorders>
          <w:top w:val="single" w:color="D5E8F0" w:sz="2"/>
          <w:left w:val="single" w:color="D5E8F0" w:sz="2"/>
          <w:bottom w:val="single" w:color="D5E8F0" w:sz="2"/>
          <w:right w:val="single" w:color="D5E8F0" w:sz="2"/>
          <w:insideH w:val="none"/>
          <w:insideV w:val="none"/>
        </w:tblBorders>
      </w:tblPr>
      <w:tblGrid>
        <w:gridCol w:w="900"/>
        <w:gridCol w:w="8460"/>
      </w:tblGrid>
      <w:tr>
        <w:trPr>
          <w:cantSplit/>
        </w:trPr>
        <w:tc>
          <w:tcPr>
            <w:tcW w:type="dxa" w:w="900"/>
            <w:shd w:fill="1B4F8A" w:val="clear"/>
            <w:tcMar>
              <w:top w:type="dxa" w:w="80"/>
              <w:left w:type="dxa" w:w="60"/>
              <w:bottom w:type="dxa" w:w="80"/>
              <w:right w:type="dxa" w:w="60"/>
            </w:tcMar>
            <w:vAlign w:val="center"/>
          </w:tcPr>
          <w:p>
            <w:pPr>
              <w:jc w:val="center"/>
            </w:pPr>
            <w:r>
              <w:rPr>
                <w:rFonts w:ascii="Arial" w:cs="Arial" w:eastAsia="Arial" w:hAnsi="Arial"/>
                <w:b/>
                <w:bCs/>
                <w:i w:val="false"/>
                <w:iCs w:val="false"/>
                <w:color w:val="FFFFFF"/>
                <w:sz w:val="28"/>
                <w:szCs w:val="28"/>
              </w:rPr>
              <w:t xml:space="preserve">03</w:t>
            </w:r>
          </w:p>
        </w:tc>
        <w:tc>
          <w:tcPr>
            <w:tcW w:type="dxa" w:w="8460"/>
            <w:shd w:fill="F5F8FC" w:val="clear"/>
            <w:tcMar>
              <w:top w:type="dxa" w:w="80"/>
              <w:left w:type="dxa" w:w="140"/>
              <w:bottom w:type="dxa" w:w="80"/>
              <w:right w:type="dxa" w:w="120"/>
            </w:tcMar>
          </w:tcPr>
          <w:p>
            <w:pPr>
              <w:spacing w:after="40"/>
            </w:pPr>
            <w:r>
              <w:rPr>
                <w:rFonts w:ascii="Arial" w:cs="Arial" w:eastAsia="Arial" w:hAnsi="Arial"/>
                <w:b/>
                <w:bCs/>
                <w:i w:val="false"/>
                <w:iCs w:val="false"/>
                <w:color w:val="1B4F8A"/>
                <w:sz w:val="20"/>
                <w:szCs w:val="20"/>
              </w:rPr>
              <w:t xml:space="preserve">DIVERSIDAD QUE SOSTIENE CONCEPTOS ESPECÍFICOS</w:t>
            </w:r>
          </w:p>
          <w:p>
            <w:r>
              <w:rPr>
                <w:rFonts w:ascii="Arial" w:cs="Arial" w:eastAsia="Arial" w:hAnsi="Arial"/>
                <w:b w:val="false"/>
                <w:bCs w:val="false"/>
                <w:i/>
                <w:iCs/>
                <w:color w:val="404040"/>
                <w:sz w:val="18"/>
                <w:szCs w:val="18"/>
              </w:rPr>
              <w:t xml:space="preserve">Una comunidad mayoritariamente hispana o latina (70,515, 48.7%) junto con una presencia asiática significativa (25,903, 17.9%) y una comunidad blanca (27,884, 19.3%) sostiene demanda real por conceptos culturalmente específicos y hace del boca a boca un canal de marketing particularmente eficaz.</w:t>
            </w:r>
          </w:p>
        </w:tc>
      </w:tr>
    </w:tbl>
    <w:p>
      <w:pPr>
        <w:spacing w:after="40"/>
      </w:pPr>
      <w:r>
        <w:rPr>
          <w:rFonts w:ascii="Arial" w:cs="Arial" w:eastAsia="Arial" w:hAnsi="Arial"/>
          <w:b w:val="false"/>
          <w:bCs w:val="false"/>
          <w:i w:val="false"/>
          <w:iCs w:val="false"/>
          <w:color w:val="404040"/>
          <w:sz w:val="22"/>
          <w:szCs w:val="22"/>
        </w:rPr>
        <w:t xml:space="preserve"/>
      </w:r>
    </w:p>
    <w:p>
      <w:pPr>
        <w:pBdr>
          <w:left w:val="single" w:color="2E75B6" w:sz="12" w:space="8"/>
        </w:pBdr>
        <w:spacing w:after="120" w:before="160"/>
        <w:ind w:left="120"/>
      </w:pPr>
      <w:r>
        <w:rPr>
          <w:rFonts w:ascii="Arial" w:cs="Arial" w:eastAsia="Arial" w:hAnsi="Arial"/>
          <w:b w:val="false"/>
          <w:bCs w:val="false"/>
          <w:i/>
          <w:iCs/>
          <w:color w:val="2E75B6"/>
          <w:sz w:val="20"/>
          <w:szCs w:val="20"/>
        </w:rPr>
        <w:t xml:space="preserve">Con el panorama completo de demanda, oferta, riesgos y oportunidades, llegamos a lo que de verdad importa: las conclusiones accionables y los siguientes pasos concretos.</w:t>
      </w:r>
    </w:p>
    <w:p>
      <w:r>
        <w:br w:type="page"/>
      </w:r>
    </w:p>
    <w:p>
      <w:pPr>
        <w:keepNext/>
        <w:keepLines/>
        <w:pBdr>
          <w:bottom w:val="single" w:color="2E75B6" w:sz="12" w:space="4"/>
        </w:pBdr>
        <w:spacing w:after="80" w:before="240"/>
      </w:pPr>
      <w:r>
        <w:rPr>
          <w:rFonts w:ascii="Arial" w:cs="Arial" w:eastAsia="Arial" w:hAnsi="Arial"/>
          <w:b/>
          <w:bCs/>
          <w:i w:val="false"/>
          <w:iCs w:val="false"/>
          <w:color w:val="1B4F8A"/>
          <w:sz w:val="32"/>
          <w:szCs w:val="32"/>
        </w:rPr>
        <w:t xml:space="preserve">09  ·  CONCLUSIONES Y SIGUIENTES PASOS</w:t>
      </w:r>
    </w:p>
    <w:p>
      <w:pPr>
        <w:keepNext/>
        <w:keepLines/>
        <w:spacing w:after="100" w:before="200"/>
      </w:pPr>
      <w:r>
        <w:rPr>
          <w:rFonts w:ascii="Arial" w:cs="Arial" w:eastAsia="Arial" w:hAnsi="Arial"/>
          <w:b/>
          <w:bCs/>
          <w:i w:val="false"/>
          <w:iCs w:val="false"/>
          <w:color w:val="2E75B6"/>
          <w:sz w:val="26"/>
          <w:szCs w:val="26"/>
        </w:rPr>
        <w:t xml:space="preserve">La zona en 3 datos</w:t>
      </w:r>
    </w:p>
    <w:tbl>
      <w:tblPr>
        <w:tblW w:type="dxa" w:w="9360"/>
        <w:tblBorders>
          <w:top w:val="single" w:color="FFFFFF" w:sz="8"/>
          <w:left w:val="single" w:color="FFFFFF" w:sz="8"/>
          <w:bottom w:val="single" w:color="FFFFFF" w:sz="8"/>
          <w:right w:val="single" w:color="FFFFFF" w:sz="8"/>
          <w:insideH w:val="none"/>
          <w:insideV w:val="single" w:color="FFFFFF" w:sz="8"/>
        </w:tblBorders>
      </w:tblPr>
      <w:tblGrid>
        <w:gridCol w:w="3120"/>
        <w:gridCol w:w="3120"/>
        <w:gridCol w:w="3120"/>
      </w:tblGrid>
      <w:tr>
        <w:trPr>
          <w:cantSplit/>
        </w:trPr>
        <w:tc>
          <w:tcPr>
            <w:tcW w:type="dxa" w:w="3120"/>
            <w:shd w:fill="0D2F55" w:val="clear"/>
            <w:tcMar>
              <w:top w:type="dxa" w:w="120"/>
              <w:left w:type="dxa" w:w="140"/>
              <w:bottom w:type="dxa" w:w="120"/>
              <w:right w:type="dxa" w:w="140"/>
            </w:tcMar>
            <w:vAlign w:val="top"/>
          </w:tcPr>
          <w:p>
            <w:pPr>
              <w:spacing w:after="60"/>
            </w:pPr>
            <w:r>
              <w:rPr>
                <w:rFonts w:ascii="Arial" w:cs="Arial" w:eastAsia="Arial" w:hAnsi="Arial"/>
                <w:b/>
                <w:bCs/>
                <w:i w:val="false"/>
                <w:iCs w:val="false"/>
                <w:color w:val="FFFFFF"/>
                <w:sz w:val="20"/>
                <w:szCs w:val="20"/>
              </w:rPr>
              <w:t xml:space="preserve">$109,106 de mediana</w:t>
            </w:r>
          </w:p>
          <w:p>
            <w:r>
              <w:rPr>
                <w:rFonts w:ascii="Arial" w:cs="Arial" w:eastAsia="Arial" w:hAnsi="Arial"/>
                <w:b w:val="false"/>
                <w:bCs w:val="false"/>
                <w:i w:val="false"/>
                <w:iCs w:val="false"/>
                <w:color w:val="FFFFFF"/>
                <w:sz w:val="17"/>
                <w:szCs w:val="17"/>
              </w:rPr>
              <w:t xml:space="preserve">Un mercado de ingreso alto con 45,281 hogares y una cola del 16.2% sobre los $200,000.</w:t>
            </w:r>
          </w:p>
        </w:tc>
        <w:tc>
          <w:tcPr>
            <w:tcW w:type="dxa" w:w="3120"/>
            <w:shd w:fill="2E75B6" w:val="clear"/>
            <w:tcMar>
              <w:top w:type="dxa" w:w="120"/>
              <w:left w:type="dxa" w:w="140"/>
              <w:bottom w:type="dxa" w:w="120"/>
              <w:right w:type="dxa" w:w="140"/>
            </w:tcMar>
            <w:vAlign w:val="top"/>
          </w:tcPr>
          <w:p>
            <w:pPr>
              <w:spacing w:after="60"/>
            </w:pPr>
            <w:r>
              <w:rPr>
                <w:rFonts w:ascii="Arial" w:cs="Arial" w:eastAsia="Arial" w:hAnsi="Arial"/>
                <w:b/>
                <w:bCs/>
                <w:i w:val="false"/>
                <w:iCs w:val="false"/>
                <w:color w:val="FFFFFF"/>
                <w:sz w:val="20"/>
                <w:szCs w:val="20"/>
              </w:rPr>
              <w:t xml:space="preserve">Mayoría hispana sin oferta que la refleje</w:t>
            </w:r>
          </w:p>
          <w:p>
            <w:r>
              <w:rPr>
                <w:rFonts w:ascii="Arial" w:cs="Arial" w:eastAsia="Arial" w:hAnsi="Arial"/>
                <w:b w:val="false"/>
                <w:bCs w:val="false"/>
                <w:i w:val="false"/>
                <w:iCs w:val="false"/>
                <w:color w:val="FFFFFF"/>
                <w:sz w:val="17"/>
                <w:szCs w:val="17"/>
              </w:rPr>
              <w:t xml:space="preserve">70,515 residentes hispanos o latinos (48.7%) conviven con solo 6 locales de comida mexicana, todos de cadena.</w:t>
            </w:r>
          </w:p>
        </w:tc>
        <w:tc>
          <w:tcPr>
            <w:tcW w:type="dxa" w:w="3120"/>
            <w:shd w:fill="3E7D4E" w:val="clear"/>
            <w:tcMar>
              <w:top w:type="dxa" w:w="120"/>
              <w:left w:type="dxa" w:w="140"/>
              <w:bottom w:type="dxa" w:w="120"/>
              <w:right w:type="dxa" w:w="140"/>
            </w:tcMar>
            <w:vAlign w:val="top"/>
          </w:tcPr>
          <w:p>
            <w:pPr>
              <w:spacing w:after="60"/>
            </w:pPr>
            <w:r>
              <w:rPr>
                <w:rFonts w:ascii="Arial" w:cs="Arial" w:eastAsia="Arial" w:hAnsi="Arial"/>
                <w:b/>
                <w:bCs/>
                <w:i w:val="false"/>
                <w:iCs w:val="false"/>
                <w:color w:val="FFFFFF"/>
                <w:sz w:val="20"/>
                <w:szCs w:val="20"/>
              </w:rPr>
              <w:t xml:space="preserve">Pico de consumo muy temprano</w:t>
            </w:r>
          </w:p>
          <w:p>
            <w:r>
              <w:rPr>
                <w:rFonts w:ascii="Arial" w:cs="Arial" w:eastAsia="Arial" w:hAnsi="Arial"/>
                <w:b w:val="false"/>
                <w:bCs w:val="false"/>
                <w:i w:val="false"/>
                <w:iCs w:val="false"/>
                <w:color w:val="FFFFFF"/>
                <w:sz w:val="17"/>
                <w:szCs w:val="17"/>
              </w:rPr>
              <w:t xml:space="preserve">El 62.1% de los residentes empleados sale de casa antes de las 8:00 a.m., una ventana de consumo matutina fuera de lo común.</w:t>
            </w:r>
          </w:p>
        </w:tc>
      </w:tr>
    </w:tbl>
    <w:p>
      <w:pPr>
        <w:spacing w:after="120"/>
      </w:pPr>
      <w:r>
        <w:rPr>
          <w:rFonts w:ascii="Arial" w:cs="Arial" w:eastAsia="Arial" w:hAnsi="Arial"/>
          <w:b w:val="false"/>
          <w:bCs w:val="false"/>
          <w:i w:val="false"/>
          <w:iCs w:val="false"/>
          <w:color w:val="404040"/>
          <w:sz w:val="22"/>
          <w:szCs w:val="22"/>
        </w:rPr>
        <w:t xml:space="preserve"/>
      </w:r>
    </w:p>
    <w:p>
      <w:pPr>
        <w:keepNext/>
        <w:keepLines/>
        <w:spacing w:after="100" w:before="200"/>
      </w:pPr>
      <w:r>
        <w:rPr>
          <w:rFonts w:ascii="Arial" w:cs="Arial" w:eastAsia="Arial" w:hAnsi="Arial"/>
          <w:b/>
          <w:bCs/>
          <w:i w:val="false"/>
          <w:iCs w:val="false"/>
          <w:color w:val="2E75B6"/>
          <w:sz w:val="26"/>
          <w:szCs w:val="26"/>
        </w:rPr>
        <w:t xml:space="preserve">Las mejores apuestas — Semáforo de oportunidades</w:t>
      </w:r>
    </w:p>
    <w:tbl>
      <w:tblPr>
        <w:tblW w:type="dxa" w:w="9360"/>
        <w:tblBorders>
          <w:top w:val="single" w:color="C7D6E5" w:sz="2"/>
          <w:left w:val="single" w:color="C7D6E5" w:sz="2"/>
          <w:bottom w:val="single" w:color="C7D6E5" w:sz="2"/>
          <w:right w:val="single" w:color="C7D6E5" w:sz="2"/>
          <w:insideH w:val="single" w:color="E2E9F1" w:sz="2"/>
          <w:insideV w:val="single" w:color="E2E9F1" w:sz="2"/>
        </w:tblBorders>
      </w:tblPr>
      <w:tblGrid>
        <w:gridCol w:w="3560"/>
        <w:gridCol w:w="1400"/>
        <w:gridCol w:w="4400"/>
      </w:tblGrid>
      <w:tr>
        <w:trPr>
          <w:cantSplit/>
          <w:tblHeader/>
        </w:trPr>
        <w:tc>
          <w:tcPr>
            <w:tcW w:type="dxa" w:w="356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Categoría recomendada</w:t>
            </w:r>
          </w:p>
        </w:tc>
        <w:tc>
          <w:tcPr>
            <w:tcW w:type="dxa" w:w="14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Oportunidad</w:t>
            </w:r>
          </w:p>
        </w:tc>
        <w:tc>
          <w:tcPr>
            <w:tcW w:type="dxa" w:w="4400"/>
            <w:shd w:fill="1B4F8A" w:val="clear"/>
            <w:tcMar>
              <w:top w:type="dxa" w:w="60"/>
              <w:left w:type="dxa" w:w="100"/>
              <w:bottom w:type="dxa" w:w="60"/>
              <w:right w:type="dxa" w:w="100"/>
            </w:tcMar>
            <w:vAlign w:val="center"/>
          </w:tcPr>
          <w:p>
            <w:r>
              <w:rPr>
                <w:rFonts w:ascii="Arial" w:cs="Arial" w:eastAsia="Arial" w:hAnsi="Arial"/>
                <w:b/>
                <w:bCs/>
                <w:i w:val="false"/>
                <w:iCs w:val="false"/>
                <w:color w:val="FFFFFF"/>
                <w:sz w:val="19"/>
                <w:szCs w:val="19"/>
              </w:rPr>
              <w:t xml:space="preserve">Competencia</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Restaurante mexicano de servicio completo</w:t>
            </w:r>
          </w:p>
        </w:tc>
        <w:tc>
          <w:tcPr>
            <w:tcW w:type="dxa" w:w="1400"/>
            <w:shd w:fill="D9EAD3" w:val="clear"/>
            <w:tcMar>
              <w:top w:type="dxa" w:w="50"/>
              <w:left w:type="dxa" w:w="100"/>
              <w:bottom w:type="dxa" w:w="50"/>
              <w:right w:type="dxa" w:w="100"/>
            </w:tcMar>
          </w:tcPr>
          <w:p>
            <w:r>
              <w:rPr>
                <w:rFonts w:ascii="Arial" w:cs="Arial" w:eastAsia="Arial" w:hAnsi="Arial"/>
                <w:b/>
                <w:bCs/>
                <w:i w:val="false"/>
                <w:iCs w:val="false"/>
                <w:color w:val="276221"/>
                <w:sz w:val="18"/>
                <w:szCs w:val="18"/>
              </w:rPr>
              <w:t xml:space="preserve">HIGH</w:t>
            </w:r>
          </w:p>
        </w:tc>
        <w:tc>
          <w:tcPr>
            <w:tcW w:type="dxa" w:w="4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Baja — 6 locales en el giro, 100% de cadena de formato rápido</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Café / desayuno matutino temprano</w:t>
            </w:r>
          </w:p>
        </w:tc>
        <w:tc>
          <w:tcPr>
            <w:tcW w:type="dxa" w:w="1400"/>
            <w:shd w:fill="D9EAD3" w:val="clear"/>
            <w:tcMar>
              <w:top w:type="dxa" w:w="50"/>
              <w:left w:type="dxa" w:w="100"/>
              <w:bottom w:type="dxa" w:w="50"/>
              <w:right w:type="dxa" w:w="100"/>
            </w:tcMar>
          </w:tcPr>
          <w:p>
            <w:r>
              <w:rPr>
                <w:rFonts w:ascii="Arial" w:cs="Arial" w:eastAsia="Arial" w:hAnsi="Arial"/>
                <w:b/>
                <w:bCs/>
                <w:i w:val="false"/>
                <w:iCs w:val="false"/>
                <w:color w:val="276221"/>
                <w:sz w:val="18"/>
                <w:szCs w:val="18"/>
              </w:rPr>
              <w:t xml:space="preserve">HIGH</w:t>
            </w:r>
          </w:p>
        </w:tc>
        <w:tc>
          <w:tcPr>
            <w:tcW w:type="dxa" w:w="4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Media — 27 locales, líder con 40.7% sin copar el mercado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Abarrotes de surtido latino</w:t>
            </w:r>
          </w:p>
        </w:tc>
        <w:tc>
          <w:tcPr>
            <w:tcW w:type="dxa" w:w="1400"/>
            <w:shd w:fill="FFF2CC" w:val="clear"/>
            <w:tcMar>
              <w:top w:type="dxa" w:w="50"/>
              <w:left w:type="dxa" w:w="100"/>
              <w:bottom w:type="dxa" w:w="50"/>
              <w:right w:type="dxa" w:w="100"/>
            </w:tcMar>
          </w:tcPr>
          <w:p>
            <w:r>
              <w:rPr>
                <w:rFonts w:ascii="Arial" w:cs="Arial" w:eastAsia="Arial" w:hAnsi="Arial"/>
                <w:b/>
                <w:bCs/>
                <w:i w:val="false"/>
                <w:iCs w:val="false"/>
                <w:color w:val="7D6808"/>
                <w:sz w:val="18"/>
                <w:szCs w:val="18"/>
              </w:rPr>
              <w:t xml:space="preserve">MEDIUM</w:t>
            </w:r>
          </w:p>
        </w:tc>
        <w:tc>
          <w:tcPr>
            <w:tcW w:type="dxa" w:w="4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Media — 15 locales fragmentados, sin marca líder relevante</w:t>
            </w:r>
          </w:p>
        </w:tc>
      </w:tr>
      <w:tr>
        <w:trPr>
          <w:cantSplit/>
        </w:trPr>
        <w:tc>
          <w:tcPr>
            <w:tcW w:type="dxa" w:w="356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Concepto gastronómico asiático diferenciado</w:t>
            </w:r>
          </w:p>
        </w:tc>
        <w:tc>
          <w:tcPr>
            <w:tcW w:type="dxa" w:w="1400"/>
            <w:shd w:fill="FFF2CC" w:val="clear"/>
            <w:tcMar>
              <w:top w:type="dxa" w:w="50"/>
              <w:left w:type="dxa" w:w="100"/>
              <w:bottom w:type="dxa" w:w="50"/>
              <w:right w:type="dxa" w:w="100"/>
            </w:tcMar>
          </w:tcPr>
          <w:p>
            <w:r>
              <w:rPr>
                <w:rFonts w:ascii="Arial" w:cs="Arial" w:eastAsia="Arial" w:hAnsi="Arial"/>
                <w:b/>
                <w:bCs/>
                <w:i w:val="false"/>
                <w:iCs w:val="false"/>
                <w:color w:val="7D6808"/>
                <w:sz w:val="18"/>
                <w:szCs w:val="18"/>
              </w:rPr>
              <w:t xml:space="preserve">MEDIUM</w:t>
            </w:r>
          </w:p>
        </w:tc>
        <w:tc>
          <w:tcPr>
            <w:tcW w:type="dxa" w:w="4400"/>
            <w:shd w:fill="F5F8FC"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Alta — una sola marca concentra el 80.0% del giro</w:t>
            </w:r>
          </w:p>
        </w:tc>
      </w:tr>
      <w:tr>
        <w:trPr>
          <w:cantSplit/>
        </w:trPr>
        <w:tc>
          <w:tcPr>
            <w:tcW w:type="dxa" w:w="356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Estudio boutique de fitness o bienestar</w:t>
            </w:r>
          </w:p>
        </w:tc>
        <w:tc>
          <w:tcPr>
            <w:tcW w:type="dxa" w:w="1400"/>
            <w:shd w:fill="FFF2CC" w:val="clear"/>
            <w:tcMar>
              <w:top w:type="dxa" w:w="50"/>
              <w:left w:type="dxa" w:w="100"/>
              <w:bottom w:type="dxa" w:w="50"/>
              <w:right w:type="dxa" w:w="100"/>
            </w:tcMar>
          </w:tcPr>
          <w:p>
            <w:r>
              <w:rPr>
                <w:rFonts w:ascii="Arial" w:cs="Arial" w:eastAsia="Arial" w:hAnsi="Arial"/>
                <w:b/>
                <w:bCs/>
                <w:i w:val="false"/>
                <w:iCs w:val="false"/>
                <w:color w:val="7D6808"/>
                <w:sz w:val="18"/>
                <w:szCs w:val="18"/>
              </w:rPr>
              <w:t xml:space="preserve">MEDIUM</w:t>
            </w:r>
          </w:p>
        </w:tc>
        <w:tc>
          <w:tcPr>
            <w:tcW w:type="dxa" w:w="4400"/>
            <w:shd w:fill="FFFFFF" w:val="clear"/>
            <w:tcMar>
              <w:top w:type="dxa" w:w="50"/>
              <w:left w:type="dxa" w:w="100"/>
              <w:bottom w:type="dxa" w:w="50"/>
              <w:right w:type="dxa" w:w="100"/>
            </w:tcMar>
          </w:tcPr>
          <w:p>
            <w:r>
              <w:rPr>
                <w:rFonts w:ascii="Arial" w:cs="Arial" w:eastAsia="Arial" w:hAnsi="Arial"/>
                <w:b w:val="false"/>
                <w:bCs w:val="false"/>
                <w:i w:val="false"/>
                <w:iCs w:val="false"/>
                <w:color w:val="404040"/>
                <w:sz w:val="18"/>
                <w:szCs w:val="18"/>
              </w:rPr>
              <w:t xml:space="preserve">Baja — solo 2 centros de fitness en toda la zona</w:t>
            </w:r>
          </w:p>
        </w:tc>
      </w:tr>
    </w:tbl>
    <w:p>
      <w:pPr>
        <w:spacing w:after="120" w:before="60"/>
        <w:jc w:val="left"/>
      </w:pPr>
      <w:r>
        <w:rPr>
          <w:rFonts w:ascii="Arial" w:cs="Arial" w:eastAsia="Arial" w:hAnsi="Arial"/>
          <w:b w:val="false"/>
          <w:bCs w:val="false"/>
          <w:i/>
          <w:iCs/>
          <w:color w:val="555555"/>
          <w:sz w:val="16"/>
          <w:szCs w:val="16"/>
        </w:rPr>
        <w:t xml:space="preserve">●  Oportunidad ALTA (demanda no cubierta aparente + ingreso alineado + baja competencia formal)    ●  Oportunidad MEDIA (demanda real pero con mayor competencia o inversión). Todas las cifras son hipótesis a validar.</w:t>
      </w:r>
    </w:p>
    <w:p>
      <w:pPr>
        <w:keepNext/>
        <w:keepLines/>
        <w:spacing w:after="100" w:before="200"/>
      </w:pPr>
      <w:r>
        <w:rPr>
          <w:rFonts w:ascii="Arial" w:cs="Arial" w:eastAsia="Arial" w:hAnsi="Arial"/>
          <w:b/>
          <w:bCs/>
          <w:i w:val="false"/>
          <w:iCs w:val="false"/>
          <w:color w:val="2E75B6"/>
          <w:sz w:val="26"/>
          <w:szCs w:val="26"/>
        </w:rPr>
        <w:t xml:space="preserve">Los 2 riesgos que no puedes ignorar</w:t>
      </w:r>
    </w:p>
    <w:tbl>
      <w:tblPr>
        <w:tblW w:type="dxa" w:w="9360"/>
        <w:tblBorders>
          <w:top w:val="single" w:color="FFFFFF" w:sz="8"/>
          <w:left w:val="single" w:color="FFFFFF" w:sz="8"/>
          <w:bottom w:val="single" w:color="FFFFFF" w:sz="8"/>
          <w:right w:val="single" w:color="FFFFFF" w:sz="8"/>
          <w:insideH w:val="none"/>
          <w:insideV w:val="single" w:color="FFFFFF" w:sz="8"/>
        </w:tblBorders>
      </w:tblPr>
      <w:tblGrid>
        <w:gridCol w:w="4680"/>
        <w:gridCol w:w="4680"/>
      </w:tblGrid>
      <w:tr>
        <w:trPr>
          <w:cantSplit/>
        </w:trPr>
        <w:tc>
          <w:tcPr>
            <w:tcW w:type="dxa" w:w="4680"/>
            <w:shd w:fill="FCE4D6" w:val="clear"/>
            <w:tcMar>
              <w:top w:type="dxa" w:w="110"/>
              <w:left w:type="dxa" w:w="140"/>
              <w:bottom w:type="dxa" w:w="110"/>
              <w:right w:type="dxa" w:w="140"/>
            </w:tcMar>
          </w:tcPr>
          <w:p>
            <w:pPr>
              <w:spacing w:after="50"/>
            </w:pPr>
            <w:r>
              <w:rPr>
                <w:rFonts w:ascii="Arial" w:cs="Arial" w:eastAsia="Arial" w:hAnsi="Arial"/>
                <w:b/>
                <w:bCs/>
                <w:i w:val="false"/>
                <w:iCs w:val="false"/>
                <w:color w:val="A00000"/>
                <w:sz w:val="19"/>
                <w:szCs w:val="19"/>
              </w:rPr>
              <w:t xml:space="preserve">Riesgo 1 — Competencia de destino cercana</w:t>
            </w:r>
          </w:p>
          <w:p>
            <w:r>
              <w:rPr>
                <w:rFonts w:ascii="Arial" w:cs="Arial" w:eastAsia="Arial" w:hAnsi="Arial"/>
                <w:b w:val="false"/>
                <w:bCs w:val="false"/>
                <w:i w:val="false"/>
                <w:iCs w:val="false"/>
                <w:color w:val="A00000"/>
                <w:sz w:val="17"/>
                <w:szCs w:val="17"/>
              </w:rPr>
              <w:t xml:space="preserve">Otay Ranch Town Center, un centro comercial consolidado a corta distancia, concentra buena parte de la oferta de comparación y especialidad de la zona. Cualquier formato de comparación debe declarar con claridad por qué el cliente elegiría quedarse en la zona en lugar de manejar hasta ese destino.</w:t>
            </w:r>
          </w:p>
        </w:tc>
        <w:tc>
          <w:tcPr>
            <w:tcW w:type="dxa" w:w="4680"/>
            <w:shd w:fill="FFF2CC" w:val="clear"/>
            <w:tcMar>
              <w:top w:type="dxa" w:w="110"/>
              <w:left w:type="dxa" w:w="140"/>
              <w:bottom w:type="dxa" w:w="110"/>
              <w:right w:type="dxa" w:w="140"/>
            </w:tcMar>
          </w:tcPr>
          <w:p>
            <w:pPr>
              <w:spacing w:after="50"/>
            </w:pPr>
            <w:r>
              <w:rPr>
                <w:rFonts w:ascii="Arial" w:cs="Arial" w:eastAsia="Arial" w:hAnsi="Arial"/>
                <w:b/>
                <w:bCs/>
                <w:i w:val="false"/>
                <w:iCs w:val="false"/>
                <w:color w:val="7D6808"/>
                <w:sz w:val="19"/>
                <w:szCs w:val="19"/>
              </w:rPr>
              <w:t xml:space="preserve">Riesgo 2 — Hipótesis sin cuantificar</w:t>
            </w:r>
          </w:p>
          <w:p>
            <w:r>
              <w:rPr>
                <w:rFonts w:ascii="Arial" w:cs="Arial" w:eastAsia="Arial" w:hAnsi="Arial"/>
                <w:b w:val="false"/>
                <w:bCs w:val="false"/>
                <w:i w:val="false"/>
                <w:iCs w:val="false"/>
                <w:color w:val="7D6808"/>
                <w:sz w:val="17"/>
                <w:szCs w:val="17"/>
              </w:rPr>
              <w:t xml:space="preserve">Al no existir en el formato de Estados Unidos un modelo de brechas cuantificadas, las oportunidades identificadas aquí son hipótesis de demanda basadas en demografía y densidad de POIs, no faltantes medidos. Comprometer capital sin un estudio de isócrona por categoría implica un riesgo real de estimación.</w:t>
            </w:r>
          </w:p>
        </w:tc>
      </w:tr>
    </w:tbl>
    <w:p>
      <w:pPr>
        <w:spacing w:after="120"/>
      </w:pPr>
      <w:r>
        <w:rPr>
          <w:rFonts w:ascii="Arial" w:cs="Arial" w:eastAsia="Arial" w:hAnsi="Arial"/>
          <w:b w:val="false"/>
          <w:bCs w:val="false"/>
          <w:i w:val="false"/>
          <w:iCs w:val="false"/>
          <w:color w:val="404040"/>
          <w:sz w:val="22"/>
          <w:szCs w:val="22"/>
        </w:rPr>
        <w:t xml:space="preserve"/>
      </w:r>
    </w:p>
    <w:p>
      <w:r>
        <w:br w:type="page"/>
      </w:r>
    </w:p>
    <w:p>
      <w:pPr>
        <w:keepNext/>
        <w:keepLines/>
        <w:spacing w:after="100" w:before="200"/>
      </w:pPr>
      <w:r>
        <w:rPr>
          <w:rFonts w:ascii="Arial" w:cs="Arial" w:eastAsia="Arial" w:hAnsi="Arial"/>
          <w:b/>
          <w:bCs/>
          <w:i w:val="false"/>
          <w:iCs w:val="false"/>
          <w:color w:val="2E75B6"/>
          <w:sz w:val="26"/>
          <w:szCs w:val="26"/>
        </w:rPr>
        <w:t xml:space="preserve">Carta al Inversionista</w:t>
      </w:r>
    </w:p>
    <w:tbl>
      <w:tblPr>
        <w:tblW w:type="dxa" w:w="9360"/>
        <w:tblBorders>
          <w:top w:val="none" w:color="FFFFFF" w:sz="0"/>
          <w:left w:val="none" w:color="FFFFFF" w:sz="0"/>
          <w:bottom w:val="none" w:color="FFFFFF" w:sz="0"/>
          <w:right w:val="none" w:color="FFFFFF" w:sz="0"/>
          <w:insideH w:val="none"/>
          <w:insideV w:val="none"/>
        </w:tblBorders>
      </w:tblPr>
      <w:tblGrid>
        <w:gridCol w:w="9360"/>
      </w:tblGrid>
      <w:tr>
        <w:trPr>
          <w:cantSplit/>
        </w:trPr>
        <w:tc>
          <w:tcPr>
            <w:tcW w:type="dxa" w:w="9360"/>
            <w:shd w:fill="0D2F55" w:val="clear"/>
            <w:tcMar>
              <w:top w:type="dxa" w:w="160"/>
              <w:left w:type="dxa" w:w="200"/>
              <w:bottom w:type="dxa" w:w="160"/>
              <w:right w:type="dxa" w:w="200"/>
            </w:tcMar>
          </w:tcPr>
          <w:p>
            <w:pPr>
              <w:spacing w:after="100"/>
            </w:pPr>
            <w:r>
              <w:rPr>
                <w:rFonts w:ascii="Arial" w:cs="Arial" w:eastAsia="Arial" w:hAnsi="Arial"/>
                <w:b/>
                <w:bCs/>
                <w:i w:val="false"/>
                <w:iCs w:val="false"/>
                <w:color w:val="FFFFFF"/>
                <w:sz w:val="22"/>
                <w:szCs w:val="22"/>
              </w:rPr>
              <w:t xml:space="preserve">Carta al Inversionista</w:t>
            </w:r>
          </w:p>
          <w:p>
            <w:pPr>
              <w:spacing w:after="100"/>
              <w:jc w:val="both"/>
            </w:pPr>
            <w:r>
              <w:rPr>
                <w:rFonts w:ascii="Arial" w:cs="Arial" w:eastAsia="Arial" w:hAnsi="Arial"/>
                <w:b w:val="false"/>
                <w:bCs w:val="false"/>
                <w:i/>
                <w:iCs/>
                <w:color w:val="7FC3E8"/>
                <w:sz w:val="18"/>
                <w:szCs w:val="18"/>
              </w:rPr>
              <w:t xml:space="preserve">Pocas zonas combinan una base residencial tan numerosa y de ingresos tan sólidos con una identidad cultural tan clara y, sin embargo, tan poco atendida en su oferta gastronómica. La zona convive con un centro comercial consolidado que ya resuelve buena parte de la comparación y la especialidad, así que la conversación no es sobre volumen de tráfico, sino sobre diferenciación real.</w:t>
            </w:r>
          </w:p>
          <w:p>
            <w:pPr>
              <w:spacing w:after="100"/>
              <w:jc w:val="both"/>
            </w:pPr>
            <w:r>
              <w:rPr>
                <w:rFonts w:ascii="Arial" w:cs="Arial" w:eastAsia="Arial" w:hAnsi="Arial"/>
                <w:b w:val="false"/>
                <w:bCs w:val="false"/>
                <w:i/>
                <w:iCs/>
                <w:color w:val="7FC3E8"/>
                <w:sz w:val="18"/>
                <w:szCs w:val="18"/>
              </w:rPr>
              <w:t xml:space="preserve">La estrategia correcta no es sumar otra opción de comida rápida ni competir de frente contra las marcas nacionales ya instaladas. Es entrar con una propuesta gastronómica de servicio completo que hable directamente al residente mayoritario de la zona, calibrada a una rutina que empieza increíblemente temprano y a un poder adquisitivo que sostiene precios medios y medio-altos. Ganar la mañana y ganar la mesa familiar son las dos ventanas donde la demanda ya existe y la oferta formal todavía no ha llegado.</w:t>
            </w:r>
          </w:p>
          <w:p>
            <w:r>
              <w:rPr>
                <w:rFonts w:ascii="Arial" w:cs="Arial" w:eastAsia="Arial" w:hAnsi="Arial"/>
                <w:b/>
                <w:bCs/>
                <w:i/>
                <w:iCs/>
                <w:color w:val="7FC3E8"/>
                <w:sz w:val="19"/>
                <w:szCs w:val="19"/>
              </w:rPr>
              <w:t xml:space="preserve">Los datos marcan el camino. Servir a quien ya vive aquí, y no solo a quien pasa por aquí, es la decisión del inversionista.</w:t>
            </w:r>
          </w:p>
        </w:tc>
      </w:tr>
    </w:tbl>
    <w:p>
      <w:pPr>
        <w:spacing w:after="120"/>
      </w:pPr>
      <w:r>
        <w:rPr>
          <w:rFonts w:ascii="Arial" w:cs="Arial" w:eastAsia="Arial" w:hAnsi="Arial"/>
          <w:b w:val="false"/>
          <w:bCs w:val="false"/>
          <w:i w:val="false"/>
          <w:iCs w:val="false"/>
          <w:color w:val="404040"/>
          <w:sz w:val="22"/>
          <w:szCs w:val="22"/>
        </w:rPr>
        <w:t xml:space="preserve"/>
      </w:r>
    </w:p>
    <w:p>
      <w:pPr>
        <w:keepNext/>
        <w:keepLines/>
        <w:spacing w:after="100" w:before="200"/>
      </w:pPr>
      <w:r>
        <w:rPr>
          <w:rFonts w:ascii="Arial" w:cs="Arial" w:eastAsia="Arial" w:hAnsi="Arial"/>
          <w:b/>
          <w:bCs/>
          <w:i w:val="false"/>
          <w:iCs w:val="false"/>
          <w:color w:val="2E75B6"/>
          <w:sz w:val="26"/>
          <w:szCs w:val="26"/>
        </w:rPr>
        <w:t xml:space="preserve">Recomendaciones para un estudio más profundo</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Estudio de isócrona al tiempo apropiado para las categorías de interés (3–5 min para conveniencia, 5–10 para comparación, 10–15 para especialidad) para cuantificar las brechas de oferta que este reporte solo puede hipotetizar.</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Encuestas de hábitos de consumo en la zona: validar con consumidores reales qué compran, dónde, con qué frecuencia y qué falta en la oferta actual.</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Visitas a la competencia como mystery shopper: evaluar calidad, precio, servicio y afluencia en las categorías de interés.</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Aforos vehiculares y peatonales en intersecciones de interés para estimar el tráfico real en distintos horarios y días.</w:t>
      </w:r>
    </w:p>
    <w:p>
      <w:pPr>
        <w:pStyle w:val="ListParagraph"/>
        <w:numPr>
          <w:ilvl w:val="0"/>
          <w:numId w:val="2"/>
        </w:numPr>
        <w:spacing w:after="60"/>
      </w:pPr>
      <w:r>
        <w:rPr>
          <w:rFonts w:ascii="Arial" w:cs="Arial" w:eastAsia="Arial" w:hAnsi="Arial"/>
          <w:b w:val="false"/>
          <w:bCs w:val="false"/>
          <w:i w:val="false"/>
          <w:iCs w:val="false"/>
          <w:color w:val="404040"/>
          <w:sz w:val="20"/>
          <w:szCs w:val="20"/>
        </w:rPr>
        <w:t xml:space="preserve">Entrevistas a residentes sobre hábitos, necesidades y disposición de gasto en las categorías identificadas como oportunidad.</w:t>
      </w:r>
    </w:p>
    <w:p>
      <w:pPr>
        <w:spacing w:after="80"/>
      </w:pPr>
      <w:r>
        <w:rPr>
          <w:rFonts w:ascii="Arial" w:cs="Arial" w:eastAsia="Arial" w:hAnsi="Arial"/>
          <w:b w:val="false"/>
          <w:bCs w:val="false"/>
          <w:i w:val="false"/>
          <w:iCs w:val="false"/>
          <w:color w:val="404040"/>
          <w:sz w:val="22"/>
          <w:szCs w:val="22"/>
        </w:rPr>
        <w:t xml:space="preserve"/>
      </w:r>
    </w:p>
    <w:tbl>
      <w:tblPr>
        <w:tblW w:type="dxa" w:w="9360"/>
        <w:tblBorders>
          <w:top w:val="single" w:color="F2F2F2" w:sz="6"/>
          <w:left w:val="single" w:color="F2F2F2" w:sz="6"/>
          <w:bottom w:val="single" w:color="F2F2F2" w:sz="6"/>
          <w:right w:val="single" w:color="F2F2F2" w:sz="6"/>
          <w:insideH w:val="none"/>
          <w:insideV w:val="none"/>
        </w:tblBorders>
      </w:tblPr>
      <w:tblGrid>
        <w:gridCol w:w="9360"/>
      </w:tblGrid>
      <w:tr>
        <w:trPr>
          <w:cantSplit/>
        </w:trPr>
        <w:tc>
          <w:tcPr>
            <w:tcW w:type="dxa" w:w="9360"/>
            <w:shd w:fill="F2F2F2" w:val="clear"/>
            <w:tcMar>
              <w:top w:type="dxa" w:w="100"/>
              <w:left w:type="dxa" w:w="140"/>
              <w:bottom w:type="dxa" w:w="100"/>
              <w:right w:type="dxa" w:w="140"/>
            </w:tcMar>
          </w:tcPr>
          <w:p>
            <w:r>
              <w:rPr>
                <w:rFonts w:ascii="Arial" w:cs="Arial" w:eastAsia="Arial" w:hAnsi="Arial"/>
                <w:b/>
                <w:bCs/>
                <w:i w:val="false"/>
                <w:iCs w:val="false"/>
                <w:color w:val="555555"/>
                <w:sz w:val="16"/>
                <w:szCs w:val="16"/>
              </w:rPr>
              <w:t xml:space="preserve">AVISO LEGAL  </w:t>
            </w:r>
            <w:r>
              <w:rPr>
                <w:rFonts w:ascii="Arial" w:cs="Arial" w:eastAsia="Arial" w:hAnsi="Arial"/>
                <w:b w:val="false"/>
                <w:bCs w:val="false"/>
                <w:i w:val="false"/>
                <w:iCs w:val="false"/>
                <w:color w:val="555555"/>
                <w:sz w:val="16"/>
                <w:szCs w:val="16"/>
              </w:rPr>
              <w:t xml:space="preserve">Los datos presentados provienen de encuestas con periodos de referencia específicos (ACS 2024) y pueden no reflejar cambios ocurridos desde entonces. Este reporte no incluye un análisis cualitativo del potencial de mercado ni una evaluación directa de los competidores existentes, y no cuantifica brechas de oferta (que requieren un estudio de isócrona). Las oportunidades identificadas son indicativas y deben validarse con investigación de campo antes de cualquier decisión de inversión. MktCompass no garantiza resultados comerciales.</w:t>
            </w:r>
          </w:p>
        </w:tc>
      </w:tr>
    </w:tbl>
    <w:p>
      <w:pPr>
        <w:spacing w:before="120"/>
        <w:jc w:val="center"/>
      </w:pPr>
      <w:r>
        <w:rPr>
          <w:rFonts w:ascii="Arial" w:cs="Arial" w:eastAsia="Arial" w:hAnsi="Arial"/>
          <w:b w:val="false"/>
          <w:bCs w:val="false"/>
          <w:i/>
          <w:iCs/>
          <w:color w:val="888888"/>
          <w:sz w:val="15"/>
          <w:szCs w:val="15"/>
        </w:rPr>
        <w:t xml:space="preserve">Geomarketing · Eastlake, Chula Vista, California · isócrona de 10 minutos en automóvil   |   ACS 2024 (U.S. Census Bureau) + MktCompass</w:t>
      </w:r>
    </w:p>
    <w:sectPr>
      <w:headerReference w:type="default" r:id="rId9"/>
      <w:footerReference w:type="default" r:id="rId10"/>
      <w:pgSz w:w="12240" w:h="15840" w:orient="portrait"/>
      <w:pgMar w:top="1080" w:right="1080" w:bottom="1400" w:left="108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w="http://schemas.openxmlformats.org/wordprocessingml/2006/main">
  <w:font w:name="Arial">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w:tbl>
    <w:tblPr>
      <w:tblW w:type="dxa" w:w="9360"/>
      <w:tblBorders>
        <w:top w:val="none" w:color="FFFFFF" w:sz="0"/>
        <w:left w:val="none" w:color="FFFFFF" w:sz="0"/>
        <w:bottom w:val="none" w:color="FFFFFF" w:sz="0"/>
        <w:right w:val="none" w:color="FFFFFF" w:sz="0"/>
        <w:insideH w:val="none" w:color="FFFFFF" w:sz="0"/>
        <w:insideV w:val="none" w:color="FFFFFF" w:sz="0"/>
      </w:tblBorders>
    </w:tblPr>
    <w:tblGrid>
      <w:gridCol w:w="2160"/>
      <w:gridCol w:w="5040"/>
      <w:gridCol w:w="2160"/>
    </w:tblGrid>
    <w:tr>
      <w:trPr>
        <w:cantSplit/>
      </w:trPr>
      <w:tc>
        <w:tcPr>
          <w:tcW w:type="dxa" w:w="216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r>
            <w:drawing>
              <wp:inline distT="0" distB="0" distL="0" distR="0">
                <wp:extent cx="7429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0" cstate="none"/>
                        <a:srcRect/>
                        <a:stretch>
                          <a:fillRect/>
                        </a:stretch>
                      </pic:blipFill>
                      <pic:spPr bwMode="auto">
                        <a:xfrm>
                          <a:off x="0" y="0"/>
                          <a:ext cx="742950" cy="209550"/>
                        </a:xfrm>
                        <a:prstGeom prst="rect">
                          <a:avLst/>
                        </a:prstGeom>
                      </pic:spPr>
                    </pic:pic>
                  </a:graphicData>
                </a:graphic>
              </wp:inline>
            </w:drawing>
          </w:r>
        </w:p>
      </w:tc>
      <w:tc>
        <w:tcPr>
          <w:tcW w:type="dxa" w:w="504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pPr>
            <w:jc w:val="center"/>
          </w:pPr>
          <w:r>
            <w:rPr>
              <w:rFonts w:ascii="Arial" w:cs="Arial" w:eastAsia="Arial" w:hAnsi="Arial"/>
              <w:color w:val="888888"/>
              <w:sz w:val="18"/>
              <w:szCs w:val="18"/>
            </w:rPr>
            <w:t xml:space="preserve">Reporte generado · 26 de agosto de 2026</w:t>
          </w:r>
        </w:p>
      </w:tc>
      <w:tc>
        <w:tcPr>
          <w:tcW w:type="dxa" w:w="216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pPr>
            <w:jc w:val="right"/>
          </w:pPr>
          <w:r>
            <w:rPr>
              <w:rFonts w:ascii="Arial" w:cs="Arial" w:eastAsia="Arial" w:hAnsi="Arial"/>
              <w:color w:val="888888"/>
              <w:sz w:val="18"/>
              <w:szCs w:val="18"/>
            </w:rPr>
            <w:t xml:space="preserve">mktcompass.net</w:t>
          </w: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w:tbl>
    <w:tblPr>
      <w:tblW w:type="dxa" w:w="9360"/>
      <w:tblBorders>
        <w:top w:val="none" w:color="FFFFFF" w:sz="0"/>
        <w:left w:val="none" w:color="FFFFFF" w:sz="0"/>
        <w:bottom w:val="none" w:color="FFFFFF" w:sz="0"/>
        <w:right w:val="none" w:color="FFFFFF" w:sz="0"/>
        <w:insideH w:val="none" w:color="FFFFFF" w:sz="0"/>
        <w:insideV w:val="none" w:color="FFFFFF" w:sz="0"/>
      </w:tblBorders>
    </w:tblPr>
    <w:tblGrid>
      <w:gridCol w:w="2160"/>
      <w:gridCol w:w="5040"/>
      <w:gridCol w:w="2160"/>
    </w:tblGrid>
    <w:tr>
      <w:trPr>
        <w:cantSplit/>
      </w:trPr>
      <w:tc>
        <w:tcPr>
          <w:tcW w:type="dxa" w:w="216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r>
            <w:drawing>
              <wp:inline distT="0" distB="0" distL="0" distR="0">
                <wp:extent cx="7429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0" cstate="none"/>
                        <a:srcRect/>
                        <a:stretch>
                          <a:fillRect/>
                        </a:stretch>
                      </pic:blipFill>
                      <pic:spPr bwMode="auto">
                        <a:xfrm>
                          <a:off x="0" y="0"/>
                          <a:ext cx="742950" cy="209550"/>
                        </a:xfrm>
                        <a:prstGeom prst="rect">
                          <a:avLst/>
                        </a:prstGeom>
                      </pic:spPr>
                    </pic:pic>
                  </a:graphicData>
                </a:graphic>
              </wp:inline>
            </w:drawing>
          </w:r>
        </w:p>
      </w:tc>
      <w:tc>
        <w:tcPr>
          <w:tcW w:type="dxa" w:w="504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pPr>
            <w:jc w:val="center"/>
          </w:pPr>
          <w:r>
            <w:rPr>
              <w:rFonts w:ascii="Arial" w:cs="Arial" w:eastAsia="Arial" w:hAnsi="Arial"/>
              <w:color w:val="888888"/>
              <w:sz w:val="18"/>
              <w:szCs w:val="18"/>
            </w:rPr>
            <w:t xml:space="preserve">Reporte generado · 26 de agosto de 2026</w:t>
          </w:r>
        </w:p>
      </w:tc>
      <w:tc>
        <w:tcPr>
          <w:tcW w:type="dxa" w:w="216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pPr>
            <w:jc w:val="right"/>
          </w:pPr>
          <w:r>
            <w:rPr>
              <w:rFonts w:ascii="Arial" w:cs="Arial" w:eastAsia="Arial" w:hAnsi="Arial"/>
              <w:color w:val="888888"/>
              <w:sz w:val="18"/>
              <w:szCs w:val="18"/>
            </w:rPr>
            <w:t xml:space="preserve">mktcompass.net</w:t>
          </w: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cid="http://schemas.microsoft.com/office/word/2016/wordml/cid" xmlns:w16se="http://schemas.microsoft.com/office/word/2015/wordml/symex">
  <w:p>
    <w:pPr>
      <w:jc w:val="center"/>
    </w:pPr>
    <w:r>
      <w:rPr>
        <w:rFonts w:ascii="Arial" w:cs="Arial" w:eastAsia="Arial" w:hAnsi="Arial"/>
        <w:i/>
        <w:iCs/>
        <w:color w:val="888888"/>
        <w:sz w:val="15"/>
        <w:szCs w:val="15"/>
      </w:rPr>
      <w:t xml:space="preserve">Este reporte es de carácter informativo. No constituye asesoría financiera ni garantiza resultados de inversión.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cid="http://schemas.microsoft.com/office/word/2016/wordml/cid" xmlns:w16se="http://schemas.microsoft.com/office/word/2015/wordml/symex">
  <w:p>
    <w:pPr>
      <w:jc w:val="center"/>
    </w:pPr>
    <w:r>
      <w:rPr>
        <w:rFonts w:ascii="Arial" w:cs="Arial" w:eastAsia="Arial" w:hAnsi="Arial"/>
        <w:i/>
        <w:iCs/>
        <w:color w:val="888888"/>
        <w:sz w:val="15"/>
        <w:szCs w:val="15"/>
      </w:rPr>
      <w:t xml:space="preserve">Este reporte es de carácter informativo. No constituye asesoría financiera ni garantiza resultados de inversión.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abstractNum w:abstractNumId="2" w15:restartNumberingAfterBreak="0">
    <w:multiLevelType w:val="hybridMultilevel"/>
    <w:lvl w:ilvl="0" w15:tentative="1">
      <w:start w:val="1"/>
      <w:numFmt w:val="bullet"/>
      <w:lvlText w:val="•"/>
      <w:lvlJc w:val="left"/>
      <w:pPr>
        <w:ind w:left="360" w:hanging="200"/>
      </w:pPr>
    </w:lvl>
  </w:abstractNum>
  <w:num w:numId="1">
    <w:abstractNumId w:val="1"/>
    <w:lvlOverride w:ilvl="0">
      <w:startOverride w:val="1"/>
    </w:lvlOverride>
  </w:num>
  <w:num w:numId="2">
    <w:abstractNumId w:val="2"/>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cs="Arial" w:eastAsia="Arial" w:hAnsi="Arial"/>
        <w:color w:val="404040"/>
        <w:sz w:val="22"/>
        <w:szCs w:val="22"/>
      </w:rPr>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 Type="http://schemas.openxmlformats.org/officeDocument/2006/relationships/header" Target="header1.xml"/><Relationship Id="rId8" Type="http://schemas.openxmlformats.org/officeDocument/2006/relationships/footer" Target="footer1.xml"/><Relationship Id="rId9" Type="http://schemas.openxmlformats.org/officeDocument/2006/relationships/header" Target="header2.xml"/><Relationship Id="rId10" Type="http://schemas.openxmlformats.org/officeDocument/2006/relationships/footer" Target="footer2.xml"/><Relationship Id="rId11" Type="http://schemas.openxmlformats.org/officeDocument/2006/relationships/image" Target="media/47052de499a7fe009f9ad820cd7d8d21b68595ab.jpg"/><Relationship Id="rId12" Type="http://schemas.openxmlformats.org/officeDocument/2006/relationships/image" Target="media/762320303a50d80646b95e2c227e588e264acdcb.png"/><Relationship Id="rId13" Type="http://schemas.openxmlformats.org/officeDocument/2006/relationships/image" Target="media/909b8e60c5cf81ed827de33b154d8651d741a7fb.png"/><Relationship Id="rId14" Type="http://schemas.openxmlformats.org/officeDocument/2006/relationships/image" Target="media/7ba24c064b9d43a2dbd68f663d633d4f0785bca1.png"/><Relationship Id="rId15" Type="http://schemas.openxmlformats.org/officeDocument/2006/relationships/image" Target="media/296fd99aaa1ca6287a45ef42f707b20cde8eb568.png"/><Relationship Id="rId16" Type="http://schemas.openxmlformats.org/officeDocument/2006/relationships/image" Target="media/a94f72099b16a54e8934e0f176f51d73b07e8b05.png"/><Relationship Id="rId17" Type="http://schemas.openxmlformats.org/officeDocument/2006/relationships/image" Target="media/8eb399b77623947e9ff5608b63b83ae17f67445a.png"/><Relationship Id="rId18" Type="http://schemas.openxmlformats.org/officeDocument/2006/relationships/image" Target="media/40b4d97c0f152a723655db94e134bc85a68ce77f.png"/><Relationship Id="rId19" Type="http://schemas.openxmlformats.org/officeDocument/2006/relationships/image" Target="media/13fb984a85e4287d3b72dc6813d3cf0c615f1a1c.png"/><Relationship Id="rId20" Type="http://schemas.openxmlformats.org/officeDocument/2006/relationships/image" Target="media/d57d329a6dc9c7836a8e51bccf7585e89f19e7ce.png"/><Relationship Id="rId21" Type="http://schemas.openxmlformats.org/officeDocument/2006/relationships/image" Target="media/337c544fa32ebdff86d604bafebfaae2ad969299.png"/><Relationship Id="rId2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er1.xml.rels><?xml version="1.0" encoding="UTF-8"?><Relationships xmlns="http://schemas.openxmlformats.org/package/2006/relationships"><Relationship Id="rId0" Type="http://schemas.openxmlformats.org/officeDocument/2006/relationships/image" Target="media/47052de499a7fe009f9ad820cd7d8d21b68595ab.jpg"/></Relationships>
</file>

<file path=word/_rels/footer2.xml.rels><?xml version="1.0" encoding="UTF-8"?><Relationships xmlns="http://schemas.openxmlformats.org/package/2006/relationships"><Relationship Id="rId0" Type="http://schemas.openxmlformats.org/officeDocument/2006/relationships/image" Target="media/47052de499a7fe009f9ad820cd7d8d21b68595ab.jpg"/></Relationships>
</file>

<file path=word/_rels/footnotes.xml.rels><?xml version="1.0" encoding="UTF-8"?><Relationships xmlns="http://schemas.openxmlformats.org/package/2006/relationships"/>
</file>

<file path=word/_rels/header1.xml.rels><?xml version="1.0" encoding="UTF-8"?><Relationships xmlns="http://schemas.openxmlformats.org/package/2006/relationships"/>
</file>

<file path=word/_rels/header2.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2026-08-26T00:03:54.316Z</dcterms:created>
  <dcterms:modified xsi:type="dcterms:W3CDTF">2026-08-26T00:03:54.317Z</dcterms:modified>
</cp:coreProperties>
</file>

<file path=docProps/custom.xml><?xml version="1.0" encoding="utf-8"?>
<Properties xmlns="http://schemas.openxmlformats.org/officeDocument/2006/custom-properties" xmlns:vt="http://schemas.openxmlformats.org/officeDocument/2006/docPropsVTypes"/>
</file>